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  <w:r w:rsidRPr="00EE5A31">
        <w:rPr>
          <w:rFonts w:ascii="Times New Roman" w:hAnsi="Times New Roman" w:cs="Times New Roman"/>
          <w:sz w:val="24"/>
          <w:szCs w:val="24"/>
        </w:rPr>
        <w:t>Фармакотерапия боли</w:t>
      </w: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  <w:r w:rsidRPr="00EE5A31">
        <w:rPr>
          <w:rFonts w:ascii="Times New Roman" w:hAnsi="Times New Roman" w:cs="Times New Roman"/>
          <w:sz w:val="24"/>
          <w:szCs w:val="24"/>
        </w:rPr>
        <w:t xml:space="preserve"> В связи с разнообразием механизмов возникновения боли, лечение каждого пациента должно быть индивидуализировано с учетом заболевания, явившегося причиной боли, а также клинических особенностей самого болевого синдрома. Кроме того, следует принимать во внимание  огромное множество факторов, таких как: общее состояние пациента, наличие сопутствующих заболеваний (например, наличие сопутствующей депрессии или наркомании/токсикомании, заболеваний печени и почек и т.д.), безуспешность/успешность предшествующей терапии, а также доступность препаратов в аптеке или больнице.</w:t>
      </w: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  <w:r w:rsidRPr="00EE5A31">
        <w:rPr>
          <w:rFonts w:ascii="Times New Roman" w:hAnsi="Times New Roman" w:cs="Times New Roman"/>
          <w:sz w:val="24"/>
          <w:szCs w:val="24"/>
        </w:rPr>
        <w:t>При разработке индивидуального подхода к лекарственному лечению, помимо непосредственного анальгетического эффекта должны быть учтены другие положительные эффекты выбранного препарата (например, уменьшение тревоги, депрессии, улучшение сна, настроения и качества жизни), а также такие факторы, как его переносимость и  возможность развития серьезных нежелательных явлений.</w:t>
      </w: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5A31">
        <w:rPr>
          <w:rFonts w:ascii="Times New Roman" w:hAnsi="Times New Roman" w:cs="Times New Roman"/>
          <w:sz w:val="24"/>
          <w:szCs w:val="24"/>
        </w:rPr>
        <w:t>На сегодняшний день для лечения боли предлагаются самые разнообразные средства: наркотические и ненаркотические аналгетики, нестероидные противовоспалительные средства, местные анестетики, антиконвульсанты и адъювантные средства (антидепрессанты, транквилизаторы, мышечные релаксанты). Особо следует отметить специфические противомигренозные средства – триптаны. Современная стратегия фармакологического лечения острых и хронических болевых синдромов предполагает комплексный и ступенчатый подход – постепенное повышение активности назначаемых лекарственных средств и их комбинированное использование по мере увеличения интенсивности боли.</w:t>
      </w: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  <w:r w:rsidRPr="00EE5A31">
        <w:rPr>
          <w:rFonts w:ascii="Times New Roman" w:hAnsi="Times New Roman" w:cs="Times New Roman"/>
          <w:sz w:val="24"/>
          <w:szCs w:val="24"/>
        </w:rPr>
        <w:t>НПВП при лечении болевых синдромов</w:t>
      </w: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  <w:r w:rsidRPr="00EE5A31">
        <w:rPr>
          <w:rFonts w:ascii="Times New Roman" w:hAnsi="Times New Roman" w:cs="Times New Roman"/>
          <w:sz w:val="24"/>
          <w:szCs w:val="24"/>
        </w:rPr>
        <w:t xml:space="preserve"> Нестероидные противовоспалительные средства (НПВП) относят к группе неопиатных анальгетиков, которые применяются для лечения боли слабой и умеренной интенсивности. </w:t>
      </w:r>
      <w:proofErr w:type="gramStart"/>
      <w:r w:rsidRPr="00EE5A31">
        <w:rPr>
          <w:rFonts w:ascii="Times New Roman" w:hAnsi="Times New Roman" w:cs="Times New Roman"/>
          <w:sz w:val="24"/>
          <w:szCs w:val="24"/>
        </w:rPr>
        <w:t>НПВП не вызывают эйфории, зависимости, угнетения дыхания, обстипации, свойственных для наркотических анальгетиков.</w:t>
      </w:r>
      <w:proofErr w:type="gramEnd"/>
      <w:r w:rsidRPr="00EE5A31">
        <w:rPr>
          <w:rFonts w:ascii="Times New Roman" w:hAnsi="Times New Roman" w:cs="Times New Roman"/>
          <w:sz w:val="24"/>
          <w:szCs w:val="24"/>
        </w:rPr>
        <w:t xml:space="preserve"> В случаях болевых синдромов, вызванных воспалением этот класс препаратов не уступает по эффективности опиатным анальгетикам, а при необходимости они могут применяться одновременно, потенцируя эффект друг друга. Показаниями для назначения НПВП являются болевые синдромы различного генеза, такие как: послеоперационная боль, спондилогенная суставная и мышечная боль, артриты (включая подагру), онкологическая боль, кардиалгии, головная боль, дисменорея, почечная и печеночная колики и др.</w:t>
      </w: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  <w:r w:rsidRPr="00EE5A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  <w:r w:rsidRPr="00EE5A31">
        <w:rPr>
          <w:rFonts w:ascii="Times New Roman" w:hAnsi="Times New Roman" w:cs="Times New Roman"/>
          <w:sz w:val="24"/>
          <w:szCs w:val="24"/>
        </w:rPr>
        <w:t xml:space="preserve"> На российском рынке существует широкий спектр различных НПВП, он насчитывает 15 наименований: ацеклофенак, диклофенак, ибупрофен, кеторолак, лорноксикам, мелоксикам, метамизол, напроксен, нимесулид, пироксикам, теноксикам, фенилбутазон, флубипрофен, целекоксиб и эторикоксиб.</w:t>
      </w: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  <w:r w:rsidRPr="00EE5A31">
        <w:rPr>
          <w:rFonts w:ascii="Times New Roman" w:hAnsi="Times New Roman" w:cs="Times New Roman"/>
          <w:sz w:val="24"/>
          <w:szCs w:val="24"/>
        </w:rPr>
        <w:t>Механизмы анальгетического действия, лекарственные формы, фармакокинетика</w:t>
      </w: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  <w:r w:rsidRPr="00EE5A31">
        <w:rPr>
          <w:rFonts w:ascii="Times New Roman" w:hAnsi="Times New Roman" w:cs="Times New Roman"/>
          <w:sz w:val="24"/>
          <w:szCs w:val="24"/>
        </w:rPr>
        <w:lastRenderedPageBreak/>
        <w:t xml:space="preserve"> Болеутоляющий эффект НПВП обусловлен подавлением синтеза </w:t>
      </w:r>
      <w:proofErr w:type="gramStart"/>
      <w:r w:rsidRPr="00EE5A31">
        <w:rPr>
          <w:rFonts w:ascii="Times New Roman" w:hAnsi="Times New Roman" w:cs="Times New Roman"/>
          <w:sz w:val="24"/>
          <w:szCs w:val="24"/>
        </w:rPr>
        <w:t>простагландинов</w:t>
      </w:r>
      <w:proofErr w:type="gramEnd"/>
      <w:r w:rsidRPr="00EE5A31">
        <w:rPr>
          <w:rFonts w:ascii="Times New Roman" w:hAnsi="Times New Roman" w:cs="Times New Roman"/>
          <w:sz w:val="24"/>
          <w:szCs w:val="24"/>
        </w:rPr>
        <w:t xml:space="preserve"> как в очаге повреждения, так и в ЦНС. НПВП уменьшают сенсибилизацию периферических ноцицепторов к алгогенному действию гистамина, серотонина и кининов и повышают порог активации натриевых каналов сенсорных нейронов, предупреждая сенситизацию последних при повторяющихся ноцицептивных стимулах. В ЦНС неопиатные анальгетики усиливают нисходящие тормозные адренергические и серотонинергические влияния на нейроны задних рогов спинного мозга, которые участвуют в передаче болевого (ноцицептивного) стимула.</w:t>
      </w: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  <w:r w:rsidRPr="00EE5A31">
        <w:rPr>
          <w:rFonts w:ascii="Times New Roman" w:hAnsi="Times New Roman" w:cs="Times New Roman"/>
          <w:sz w:val="24"/>
          <w:szCs w:val="24"/>
        </w:rPr>
        <w:t xml:space="preserve"> НПВП могут применяться ректально или местно (в гелях и мазях). Большое количество этих средств выпускается в виде растворов для внутримышечного введения, а ряд препаратов и для внутривенного введения (ацетилсалициловая кислота, парацетамол, кетопрофен, лорноксикам). Наиболее частый и простой путь введения НПВП – прием внутрь в капсулах, драже или таблетках. Преимущества и ограничения различных путей введения НПВП представлены в таблице 1.</w:t>
      </w:r>
    </w:p>
    <w:p w:rsidR="00EE5A31" w:rsidRPr="00EE5A31" w:rsidRDefault="00EE5A31" w:rsidP="00EE5A31">
      <w:pPr>
        <w:rPr>
          <w:rFonts w:ascii="Times New Roman" w:hAnsi="Times New Roman" w:cs="Times New Roman"/>
          <w:sz w:val="24"/>
          <w:szCs w:val="24"/>
        </w:rPr>
      </w:pPr>
    </w:p>
    <w:p w:rsidR="004C220A" w:rsidRDefault="00EE5A31" w:rsidP="00EE5A31">
      <w:pPr>
        <w:rPr>
          <w:rFonts w:ascii="Times New Roman" w:hAnsi="Times New Roman" w:cs="Times New Roman"/>
          <w:sz w:val="24"/>
          <w:szCs w:val="24"/>
        </w:rPr>
      </w:pPr>
      <w:r w:rsidRPr="00EE5A31">
        <w:rPr>
          <w:rFonts w:ascii="Times New Roman" w:hAnsi="Times New Roman" w:cs="Times New Roman"/>
          <w:sz w:val="24"/>
          <w:szCs w:val="24"/>
        </w:rPr>
        <w:t>Таблица 1. Лекарственные формы и пути введения НПВП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442"/>
        <w:gridCol w:w="2567"/>
        <w:gridCol w:w="3226"/>
      </w:tblGrid>
      <w:tr w:rsidR="00EE5A31" w:rsidTr="007B6563">
        <w:tc>
          <w:tcPr>
            <w:tcW w:w="2447" w:type="dxa"/>
          </w:tcPr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  <w:tc>
          <w:tcPr>
            <w:tcW w:w="2442" w:type="dxa"/>
          </w:tcPr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Наиболее частое применение</w:t>
            </w:r>
          </w:p>
        </w:tc>
        <w:tc>
          <w:tcPr>
            <w:tcW w:w="2567" w:type="dxa"/>
          </w:tcPr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3226" w:type="dxa"/>
          </w:tcPr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Ограничения/осторожности</w:t>
            </w:r>
          </w:p>
        </w:tc>
      </w:tr>
      <w:tr w:rsidR="00EE5A31" w:rsidTr="007B6563">
        <w:tc>
          <w:tcPr>
            <w:tcW w:w="2447" w:type="dxa"/>
          </w:tcPr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Инъекции</w:t>
            </w:r>
          </w:p>
        </w:tc>
        <w:tc>
          <w:tcPr>
            <w:tcW w:w="2442" w:type="dxa"/>
          </w:tcPr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острая выраженная боль</w:t>
            </w:r>
          </w:p>
        </w:tc>
        <w:tc>
          <w:tcPr>
            <w:tcW w:w="2567" w:type="dxa"/>
          </w:tcPr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быстрое достижение эффекта,</w:t>
            </w:r>
          </w:p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 xml:space="preserve"> сильный «плацебо» эффект,</w:t>
            </w:r>
          </w:p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возможность использования у больных, не способных глотать</w:t>
            </w:r>
          </w:p>
        </w:tc>
        <w:tc>
          <w:tcPr>
            <w:tcW w:w="3226" w:type="dxa"/>
          </w:tcPr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не снижается риск развития системных побочных эффектов;</w:t>
            </w:r>
          </w:p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 xml:space="preserve">  «плацебо» эффект сильный</w:t>
            </w:r>
          </w:p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 xml:space="preserve">  могут возникать локальные осложнения в месте инъекции</w:t>
            </w:r>
          </w:p>
        </w:tc>
      </w:tr>
      <w:tr w:rsidR="00EE5A31" w:rsidTr="007B6563">
        <w:tc>
          <w:tcPr>
            <w:tcW w:w="2447" w:type="dxa"/>
          </w:tcPr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442" w:type="dxa"/>
          </w:tcPr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наиболее частая форма при любых заболеваниях</w:t>
            </w:r>
          </w:p>
        </w:tc>
        <w:tc>
          <w:tcPr>
            <w:tcW w:w="2567" w:type="dxa"/>
          </w:tcPr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удобство</w:t>
            </w:r>
          </w:p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 xml:space="preserve">  наличие таблеток пролонгированного действия</w:t>
            </w:r>
          </w:p>
        </w:tc>
        <w:tc>
          <w:tcPr>
            <w:tcW w:w="3226" w:type="dxa"/>
          </w:tcPr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Иногда более медленное развитие эффекта по сравнению с инъекциями/суппозиториями</w:t>
            </w:r>
          </w:p>
        </w:tc>
      </w:tr>
      <w:tr w:rsidR="00EE5A31" w:rsidTr="007B6563">
        <w:tc>
          <w:tcPr>
            <w:tcW w:w="2447" w:type="dxa"/>
          </w:tcPr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2442" w:type="dxa"/>
          </w:tcPr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лечение острой и хронической боли,</w:t>
            </w:r>
          </w:p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 xml:space="preserve">  купирование лихорадки</w:t>
            </w:r>
          </w:p>
        </w:tc>
        <w:tc>
          <w:tcPr>
            <w:tcW w:w="2567" w:type="dxa"/>
          </w:tcPr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у больных, не способных глотать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A31" w:rsidRP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эффективны</w:t>
            </w:r>
            <w:proofErr w:type="gramEnd"/>
            <w:r w:rsidRPr="00EE5A31">
              <w:rPr>
                <w:rFonts w:ascii="Times New Roman" w:hAnsi="Times New Roman" w:cs="Times New Roman"/>
                <w:sz w:val="24"/>
                <w:szCs w:val="24"/>
              </w:rPr>
              <w:t xml:space="preserve"> при сопутствующих тошноте и рвоте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быстрое достижение эффекта</w:t>
            </w:r>
          </w:p>
        </w:tc>
        <w:tc>
          <w:tcPr>
            <w:tcW w:w="3226" w:type="dxa"/>
          </w:tcPr>
          <w:p w:rsidR="00A34091" w:rsidRPr="00A34091" w:rsidRDefault="00A34091" w:rsidP="00A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91">
              <w:rPr>
                <w:rFonts w:ascii="Times New Roman" w:hAnsi="Times New Roman" w:cs="Times New Roman"/>
                <w:sz w:val="24"/>
                <w:szCs w:val="24"/>
              </w:rPr>
              <w:t>не снижается риск развития системных побочных эффектов;</w:t>
            </w:r>
          </w:p>
          <w:p w:rsidR="00A34091" w:rsidRPr="00A34091" w:rsidRDefault="00A34091" w:rsidP="00A3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91" w:rsidRPr="00A34091" w:rsidRDefault="00A34091" w:rsidP="00A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91">
              <w:rPr>
                <w:rFonts w:ascii="Times New Roman" w:hAnsi="Times New Roman" w:cs="Times New Roman"/>
                <w:sz w:val="24"/>
                <w:szCs w:val="24"/>
              </w:rPr>
              <w:t xml:space="preserve"> при длительном использовании могут вызывать локальные НЭ со стороны прямой кишки (изъязвление, кровотечение)</w:t>
            </w:r>
          </w:p>
          <w:p w:rsidR="00A34091" w:rsidRPr="00A34091" w:rsidRDefault="00A34091" w:rsidP="00A3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31" w:rsidRDefault="00A34091" w:rsidP="00A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4091">
              <w:rPr>
                <w:rFonts w:ascii="Times New Roman" w:hAnsi="Times New Roman" w:cs="Times New Roman"/>
                <w:sz w:val="24"/>
                <w:szCs w:val="24"/>
              </w:rPr>
              <w:t>противопоказаны</w:t>
            </w:r>
            <w:proofErr w:type="gramEnd"/>
            <w:r w:rsidRPr="00A34091">
              <w:rPr>
                <w:rFonts w:ascii="Times New Roman" w:hAnsi="Times New Roman" w:cs="Times New Roman"/>
                <w:sz w:val="24"/>
                <w:szCs w:val="24"/>
              </w:rPr>
              <w:t xml:space="preserve"> при проктите, геморрое</w:t>
            </w:r>
          </w:p>
        </w:tc>
      </w:tr>
      <w:tr w:rsidR="00EE5A31" w:rsidTr="007B6563">
        <w:tc>
          <w:tcPr>
            <w:tcW w:w="2447" w:type="dxa"/>
          </w:tcPr>
          <w:p w:rsidR="00EE5A31" w:rsidRDefault="00EE5A3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31">
              <w:rPr>
                <w:rFonts w:ascii="Times New Roman" w:hAnsi="Times New Roman" w:cs="Times New Roman"/>
                <w:sz w:val="24"/>
                <w:szCs w:val="24"/>
              </w:rPr>
              <w:t>Локальные формы</w:t>
            </w:r>
          </w:p>
        </w:tc>
        <w:tc>
          <w:tcPr>
            <w:tcW w:w="2442" w:type="dxa"/>
          </w:tcPr>
          <w:p w:rsidR="00EE5A31" w:rsidRDefault="00A34091" w:rsidP="00E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91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 боль, связанная с повреждением мягких тканей (мышцы, связки), </w:t>
            </w:r>
            <w:r w:rsidRPr="00A34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мелких суставов</w:t>
            </w:r>
          </w:p>
        </w:tc>
        <w:tc>
          <w:tcPr>
            <w:tcW w:w="2567" w:type="dxa"/>
          </w:tcPr>
          <w:p w:rsidR="00A34091" w:rsidRPr="00A34091" w:rsidRDefault="00A34091" w:rsidP="00A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риск системных побочных эффектов</w:t>
            </w:r>
          </w:p>
          <w:p w:rsidR="00A34091" w:rsidRPr="00A34091" w:rsidRDefault="00A34091" w:rsidP="00A3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31" w:rsidRDefault="00A34091" w:rsidP="00A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91">
              <w:rPr>
                <w:rFonts w:ascii="Times New Roman" w:hAnsi="Times New Roman" w:cs="Times New Roman"/>
                <w:sz w:val="24"/>
                <w:szCs w:val="24"/>
              </w:rPr>
              <w:t xml:space="preserve"> «плацебо» эффект</w:t>
            </w:r>
          </w:p>
        </w:tc>
        <w:tc>
          <w:tcPr>
            <w:tcW w:w="3226" w:type="dxa"/>
          </w:tcPr>
          <w:p w:rsidR="00A34091" w:rsidRPr="00A34091" w:rsidRDefault="00A34091" w:rsidP="00A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91">
              <w:rPr>
                <w:rFonts w:ascii="Times New Roman" w:hAnsi="Times New Roman" w:cs="Times New Roman"/>
                <w:sz w:val="24"/>
                <w:szCs w:val="24"/>
              </w:rPr>
              <w:t>менее эффективны, чем системные формы НПВП;</w:t>
            </w:r>
          </w:p>
          <w:p w:rsidR="00A34091" w:rsidRPr="00A34091" w:rsidRDefault="00A34091" w:rsidP="00A3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91" w:rsidRPr="00A34091" w:rsidRDefault="00A34091" w:rsidP="00A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91">
              <w:rPr>
                <w:rFonts w:ascii="Times New Roman" w:hAnsi="Times New Roman" w:cs="Times New Roman"/>
                <w:sz w:val="24"/>
                <w:szCs w:val="24"/>
              </w:rPr>
              <w:t xml:space="preserve">  следует считать вспомогательным средством</w:t>
            </w:r>
          </w:p>
          <w:p w:rsidR="00A34091" w:rsidRPr="00A34091" w:rsidRDefault="00A34091" w:rsidP="00A3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31" w:rsidRDefault="00A34091" w:rsidP="00A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9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использовать одно действующее вещество НПВП для системного и местного применения</w:t>
            </w:r>
          </w:p>
        </w:tc>
      </w:tr>
    </w:tbl>
    <w:p w:rsidR="007B6563" w:rsidRPr="007B6563" w:rsidRDefault="007B6563" w:rsidP="007B6563">
      <w:pPr>
        <w:rPr>
          <w:rFonts w:ascii="Times New Roman" w:hAnsi="Times New Roman" w:cs="Times New Roman"/>
          <w:sz w:val="24"/>
          <w:szCs w:val="24"/>
        </w:rPr>
      </w:pPr>
      <w:r w:rsidRPr="007B6563">
        <w:rPr>
          <w:rFonts w:ascii="Times New Roman" w:hAnsi="Times New Roman" w:cs="Times New Roman"/>
          <w:sz w:val="24"/>
          <w:szCs w:val="24"/>
        </w:rPr>
        <w:lastRenderedPageBreak/>
        <w:t xml:space="preserve">Среди большого числа НПВП в качестве болеутоляющих средств традиционно используются метамизол, парацетамол, кеторолак, диклофенак натрия, ибупрофен и </w:t>
      </w:r>
      <w:proofErr w:type="gramStart"/>
      <w:r w:rsidRPr="007B6563">
        <w:rPr>
          <w:rFonts w:ascii="Times New Roman" w:hAnsi="Times New Roman" w:cs="Times New Roman"/>
          <w:sz w:val="24"/>
          <w:szCs w:val="24"/>
        </w:rPr>
        <w:t>кетопрофен</w:t>
      </w:r>
      <w:proofErr w:type="gramEnd"/>
      <w:r w:rsidRPr="007B6563">
        <w:rPr>
          <w:rFonts w:ascii="Times New Roman" w:hAnsi="Times New Roman" w:cs="Times New Roman"/>
          <w:sz w:val="24"/>
          <w:szCs w:val="24"/>
        </w:rPr>
        <w:t xml:space="preserve"> поскольку их болеутоляющее действие превосходит противовоспалительное и проявляется более быстро. Как анальгетики НПВП чаще назначаются однократно или небольшим курсом (3-7 дней) и анальгетические дозы обычно не отличаются </w:t>
      </w:r>
      <w:proofErr w:type="gramStart"/>
      <w:r w:rsidRPr="007B65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B6563">
        <w:rPr>
          <w:rFonts w:ascii="Times New Roman" w:hAnsi="Times New Roman" w:cs="Times New Roman"/>
          <w:sz w:val="24"/>
          <w:szCs w:val="24"/>
        </w:rPr>
        <w:t xml:space="preserve"> противовоспалительных. При слабом и умеренном болевом синдроме назначают аспирин, парацетамол, ибупрофен, анальгин. </w:t>
      </w:r>
      <w:proofErr w:type="gramStart"/>
      <w:r w:rsidRPr="007B6563">
        <w:rPr>
          <w:rFonts w:ascii="Times New Roman" w:hAnsi="Times New Roman" w:cs="Times New Roman"/>
          <w:sz w:val="24"/>
          <w:szCs w:val="24"/>
        </w:rPr>
        <w:t>При умеренной и сильной острой боли или обострении хронической эффективны анальгин, диклофенак, кетопрофен и кеторолак вводимые парентерально.</w:t>
      </w:r>
      <w:proofErr w:type="gramEnd"/>
      <w:r w:rsidRPr="007B6563">
        <w:rPr>
          <w:rFonts w:ascii="Times New Roman" w:hAnsi="Times New Roman" w:cs="Times New Roman"/>
          <w:sz w:val="24"/>
          <w:szCs w:val="24"/>
        </w:rPr>
        <w:t xml:space="preserve"> Эти же препараты используют для купирования послеоперационных болей и </w:t>
      </w:r>
      <w:proofErr w:type="gramStart"/>
      <w:r w:rsidRPr="007B6563">
        <w:rPr>
          <w:rFonts w:ascii="Times New Roman" w:hAnsi="Times New Roman" w:cs="Times New Roman"/>
          <w:sz w:val="24"/>
          <w:szCs w:val="24"/>
        </w:rPr>
        <w:t>травмах</w:t>
      </w:r>
      <w:proofErr w:type="gramEnd"/>
      <w:r w:rsidRPr="007B6563">
        <w:rPr>
          <w:rFonts w:ascii="Times New Roman" w:hAnsi="Times New Roman" w:cs="Times New Roman"/>
          <w:sz w:val="24"/>
          <w:szCs w:val="24"/>
        </w:rPr>
        <w:t>.</w:t>
      </w:r>
    </w:p>
    <w:p w:rsidR="007B6563" w:rsidRPr="007B6563" w:rsidRDefault="007B6563" w:rsidP="007B6563">
      <w:pPr>
        <w:rPr>
          <w:rFonts w:ascii="Times New Roman" w:hAnsi="Times New Roman" w:cs="Times New Roman"/>
          <w:sz w:val="24"/>
          <w:szCs w:val="24"/>
        </w:rPr>
      </w:pPr>
    </w:p>
    <w:p w:rsidR="007B6563" w:rsidRPr="007B6563" w:rsidRDefault="007B6563" w:rsidP="007B6563">
      <w:pPr>
        <w:rPr>
          <w:rFonts w:ascii="Times New Roman" w:hAnsi="Times New Roman" w:cs="Times New Roman"/>
          <w:sz w:val="24"/>
          <w:szCs w:val="24"/>
        </w:rPr>
      </w:pPr>
      <w:r w:rsidRPr="007B6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563">
        <w:rPr>
          <w:rFonts w:ascii="Times New Roman" w:hAnsi="Times New Roman" w:cs="Times New Roman"/>
          <w:sz w:val="24"/>
          <w:szCs w:val="24"/>
        </w:rPr>
        <w:t>Многие НПВП выпускаются в форме гелей или мазей для наружного применения (индометацин, диклофенак, кетопрофен и др.); при таком применении значительно снижается системная биодоступность препаратов (до 5%) и замедляется абсорбция, но создается достаточно высокая концентрация в месте нанесения (в области воспаления) и одновременно снижается риск системных побочных эффектов из-за низкой концентрации в крови.</w:t>
      </w:r>
      <w:proofErr w:type="gramEnd"/>
      <w:r w:rsidRPr="007B6563">
        <w:rPr>
          <w:rFonts w:ascii="Times New Roman" w:hAnsi="Times New Roman" w:cs="Times New Roman"/>
          <w:sz w:val="24"/>
          <w:szCs w:val="24"/>
        </w:rPr>
        <w:t xml:space="preserve"> Однако при наружном применении НПВП относительно высокие концентрации препаратов создаются в коже, тогда как в мышцах эти концентрации эквивалентны уровню, достигаемому при системном введении. Нанесенные на кожу в области суставов, НПВП достигают и синовиальной жидкости вследствие местного проникновения препарата или его попадания в системный кровоток. Имеются убедительные свидетельства эффективности лекарственных форм НПВП для наружного применения (гели, спреи, пластыри) при повреждениях опорно-двигательного аппарата, таких как растяжения, вывихи, тендиниты, а также при ревматических заболеваниях. При спондилогенных болях, остеоартрите и ревматоидном артрите местное применение НПВП дает весьма вариабельный и умеренный эффект.</w:t>
      </w:r>
    </w:p>
    <w:p w:rsidR="007B6563" w:rsidRPr="007B6563" w:rsidRDefault="007B6563" w:rsidP="007B6563">
      <w:pPr>
        <w:rPr>
          <w:rFonts w:ascii="Times New Roman" w:hAnsi="Times New Roman" w:cs="Times New Roman"/>
          <w:sz w:val="24"/>
          <w:szCs w:val="24"/>
        </w:rPr>
      </w:pPr>
    </w:p>
    <w:p w:rsidR="007B6563" w:rsidRPr="007B6563" w:rsidRDefault="007B6563" w:rsidP="007B6563">
      <w:pPr>
        <w:rPr>
          <w:rFonts w:ascii="Times New Roman" w:hAnsi="Times New Roman" w:cs="Times New Roman"/>
          <w:sz w:val="24"/>
          <w:szCs w:val="24"/>
        </w:rPr>
      </w:pPr>
      <w:r w:rsidRPr="007B6563">
        <w:rPr>
          <w:rFonts w:ascii="Times New Roman" w:hAnsi="Times New Roman" w:cs="Times New Roman"/>
          <w:sz w:val="24"/>
          <w:szCs w:val="24"/>
        </w:rPr>
        <w:t xml:space="preserve"> При хронической, как правило, ревматической, суставной боли, где противовоспалительное действие НПВП имеет первоочередное значение, а длительные курсы лечения </w:t>
      </w:r>
      <w:proofErr w:type="gramStart"/>
      <w:r w:rsidRPr="007B6563">
        <w:rPr>
          <w:rFonts w:ascii="Times New Roman" w:hAnsi="Times New Roman" w:cs="Times New Roman"/>
          <w:sz w:val="24"/>
          <w:szCs w:val="24"/>
        </w:rPr>
        <w:t>предполагают</w:t>
      </w:r>
      <w:proofErr w:type="gramEnd"/>
      <w:r w:rsidRPr="007B6563">
        <w:rPr>
          <w:rFonts w:ascii="Times New Roman" w:hAnsi="Times New Roman" w:cs="Times New Roman"/>
          <w:sz w:val="24"/>
          <w:szCs w:val="24"/>
        </w:rPr>
        <w:t xml:space="preserve"> максимальную гастроэнтерологическую безопасность могут использоваться целекоксиб, эторикоксиб нимесулид, мелоксикам. Сравнительная противовоспалительная активность НПВП не является определенной постоянной величиной, и зависит от патогенетического механизма повреждения, выраженности воспаления, методики оценки и индивидуальной чувствительности пациента. В эквивалентных терапевтических дозах на популяционном уровне все НПВП обладают сходной противовоспалительной активностью. Однако</w:t>
      </w:r>
      <w:proofErr w:type="gramStart"/>
      <w:r w:rsidRPr="007B65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6563">
        <w:rPr>
          <w:rFonts w:ascii="Times New Roman" w:hAnsi="Times New Roman" w:cs="Times New Roman"/>
          <w:sz w:val="24"/>
          <w:szCs w:val="24"/>
        </w:rPr>
        <w:t xml:space="preserve"> на основе экспериментальных исследований и клинических наблюдений НПВП по выраженности противовоспалительного эффекта могут быть расположены в следующей последовательности: индометацин &gt; диклофенак натрия &gt; пироксикам = мелоксикам = целекоксиб &gt; напроксен &gt; кетопрофен &gt; бутадион &gt; ибупрофен &gt; ацетилсалициловая кислота &gt; метамизол &gt; ацетаминофен (табл. 2).</w:t>
      </w:r>
    </w:p>
    <w:p w:rsidR="007B6563" w:rsidRPr="007B6563" w:rsidRDefault="007B6563" w:rsidP="007B6563">
      <w:pPr>
        <w:rPr>
          <w:rFonts w:ascii="Times New Roman" w:hAnsi="Times New Roman" w:cs="Times New Roman"/>
          <w:sz w:val="24"/>
          <w:szCs w:val="24"/>
        </w:rPr>
      </w:pPr>
    </w:p>
    <w:p w:rsidR="00EE5A31" w:rsidRDefault="007B6563" w:rsidP="007B6563">
      <w:pPr>
        <w:rPr>
          <w:rFonts w:ascii="Times New Roman" w:hAnsi="Times New Roman" w:cs="Times New Roman"/>
          <w:sz w:val="24"/>
          <w:szCs w:val="24"/>
        </w:rPr>
      </w:pPr>
      <w:r w:rsidRPr="007B6563">
        <w:rPr>
          <w:rFonts w:ascii="Times New Roman" w:hAnsi="Times New Roman" w:cs="Times New Roman"/>
          <w:sz w:val="24"/>
          <w:szCs w:val="24"/>
        </w:rPr>
        <w:t xml:space="preserve">Таблица 2. Сравнительная характеристика </w:t>
      </w:r>
      <w:proofErr w:type="gramStart"/>
      <w:r w:rsidRPr="007B6563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7B6563">
        <w:rPr>
          <w:rFonts w:ascii="Times New Roman" w:hAnsi="Times New Roman" w:cs="Times New Roman"/>
          <w:sz w:val="24"/>
          <w:szCs w:val="24"/>
        </w:rPr>
        <w:t xml:space="preserve"> НПВП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79"/>
        <w:gridCol w:w="1779"/>
        <w:gridCol w:w="1780"/>
        <w:gridCol w:w="1780"/>
        <w:gridCol w:w="1782"/>
        <w:gridCol w:w="1782"/>
      </w:tblGrid>
      <w:tr w:rsidR="007B6563" w:rsidTr="007B6563">
        <w:tc>
          <w:tcPr>
            <w:tcW w:w="833" w:type="pct"/>
          </w:tcPr>
          <w:p w:rsidR="00872DFC" w:rsidRPr="00872DFC" w:rsidRDefault="00872DFC" w:rsidP="0087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Препарат*</w:t>
            </w:r>
            <w:r w:rsidRPr="00872D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6563" w:rsidRDefault="007B6563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7B6563" w:rsidRDefault="00077B15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Время достижения Cmax(ч)</w:t>
            </w:r>
          </w:p>
        </w:tc>
        <w:tc>
          <w:tcPr>
            <w:tcW w:w="833" w:type="pct"/>
          </w:tcPr>
          <w:p w:rsidR="00077B15" w:rsidRPr="00077B15" w:rsidRDefault="00077B15" w:rsidP="0007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 xml:space="preserve">Т50 </w:t>
            </w:r>
          </w:p>
          <w:p w:rsidR="00077B15" w:rsidRPr="00077B15" w:rsidRDefault="00077B15" w:rsidP="0007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3" w:rsidRDefault="00077B15" w:rsidP="0007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 xml:space="preserve"> (ч)</w:t>
            </w:r>
          </w:p>
        </w:tc>
        <w:tc>
          <w:tcPr>
            <w:tcW w:w="833" w:type="pct"/>
          </w:tcPr>
          <w:p w:rsidR="00077B15" w:rsidRPr="00077B15" w:rsidRDefault="00077B15" w:rsidP="0007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Разовая доза</w:t>
            </w:r>
          </w:p>
          <w:p w:rsidR="00077B15" w:rsidRPr="00077B15" w:rsidRDefault="00077B15" w:rsidP="0007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3" w:rsidRDefault="00077B15" w:rsidP="0007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</w:p>
        </w:tc>
        <w:tc>
          <w:tcPr>
            <w:tcW w:w="834" w:type="pct"/>
          </w:tcPr>
          <w:p w:rsidR="00077B15" w:rsidRPr="00077B15" w:rsidRDefault="00077B15" w:rsidP="0007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Максимальная суточная доза</w:t>
            </w:r>
          </w:p>
          <w:p w:rsidR="00077B15" w:rsidRPr="00077B15" w:rsidRDefault="00077B15" w:rsidP="0007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3" w:rsidRDefault="00077B15" w:rsidP="0007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</w:p>
        </w:tc>
        <w:tc>
          <w:tcPr>
            <w:tcW w:w="834" w:type="pct"/>
          </w:tcPr>
          <w:p w:rsidR="007B6563" w:rsidRDefault="00077B15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Режим назначения (раз в сутки)</w:t>
            </w:r>
          </w:p>
        </w:tc>
      </w:tr>
      <w:tr w:rsidR="007B6563" w:rsidTr="007B6563">
        <w:tc>
          <w:tcPr>
            <w:tcW w:w="833" w:type="pct"/>
          </w:tcPr>
          <w:p w:rsidR="007B6563" w:rsidRDefault="00872DFC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FC"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</w:p>
        </w:tc>
        <w:tc>
          <w:tcPr>
            <w:tcW w:w="833" w:type="pct"/>
          </w:tcPr>
          <w:p w:rsidR="007B6563" w:rsidRDefault="00077B15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7B6563" w:rsidRDefault="0045174D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74D"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833" w:type="pct"/>
          </w:tcPr>
          <w:p w:rsidR="007B6563" w:rsidRDefault="00450CD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D8">
              <w:rPr>
                <w:rFonts w:ascii="Times New Roman" w:hAnsi="Times New Roman" w:cs="Times New Roman"/>
                <w:sz w:val="24"/>
                <w:szCs w:val="24"/>
              </w:rPr>
              <w:t>0,025-0,1</w:t>
            </w:r>
          </w:p>
        </w:tc>
        <w:tc>
          <w:tcPr>
            <w:tcW w:w="834" w:type="pct"/>
          </w:tcPr>
          <w:p w:rsidR="007B6563" w:rsidRDefault="00B5587B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7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4" w:type="pct"/>
          </w:tcPr>
          <w:p w:rsidR="007B6563" w:rsidRDefault="006A437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B6563" w:rsidTr="007B6563">
        <w:tc>
          <w:tcPr>
            <w:tcW w:w="833" w:type="pct"/>
          </w:tcPr>
          <w:p w:rsidR="007B6563" w:rsidRDefault="00872DFC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FC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833" w:type="pct"/>
          </w:tcPr>
          <w:p w:rsidR="007B6563" w:rsidRDefault="00077B15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0,5-1</w:t>
            </w:r>
          </w:p>
        </w:tc>
        <w:tc>
          <w:tcPr>
            <w:tcW w:w="833" w:type="pct"/>
          </w:tcPr>
          <w:p w:rsidR="007B6563" w:rsidRDefault="0045174D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74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33" w:type="pct"/>
          </w:tcPr>
          <w:p w:rsidR="007B6563" w:rsidRDefault="00450CD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0,025-0,05</w:t>
            </w:r>
          </w:p>
        </w:tc>
        <w:tc>
          <w:tcPr>
            <w:tcW w:w="834" w:type="pct"/>
          </w:tcPr>
          <w:p w:rsidR="007B6563" w:rsidRDefault="00B5587B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7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4" w:type="pct"/>
          </w:tcPr>
          <w:p w:rsidR="007B6563" w:rsidRDefault="006A437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6563" w:rsidTr="007B6563">
        <w:tc>
          <w:tcPr>
            <w:tcW w:w="833" w:type="pct"/>
          </w:tcPr>
          <w:p w:rsidR="007B6563" w:rsidRDefault="00872DFC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FC"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</w:p>
        </w:tc>
        <w:tc>
          <w:tcPr>
            <w:tcW w:w="833" w:type="pct"/>
          </w:tcPr>
          <w:p w:rsidR="007B6563" w:rsidRDefault="00077B15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33" w:type="pct"/>
          </w:tcPr>
          <w:p w:rsidR="007B6563" w:rsidRDefault="0045174D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74D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833" w:type="pct"/>
          </w:tcPr>
          <w:p w:rsidR="007B6563" w:rsidRDefault="00450CD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D8">
              <w:rPr>
                <w:rFonts w:ascii="Times New Roman" w:hAnsi="Times New Roman" w:cs="Times New Roman"/>
                <w:sz w:val="24"/>
                <w:szCs w:val="24"/>
              </w:rPr>
              <w:t>0,0075-0,015</w:t>
            </w:r>
          </w:p>
        </w:tc>
        <w:tc>
          <w:tcPr>
            <w:tcW w:w="834" w:type="pct"/>
          </w:tcPr>
          <w:p w:rsidR="007B6563" w:rsidRDefault="00B5587B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58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pct"/>
          </w:tcPr>
          <w:p w:rsidR="007B6563" w:rsidRDefault="006A437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563" w:rsidTr="007B6563">
        <w:tc>
          <w:tcPr>
            <w:tcW w:w="833" w:type="pct"/>
          </w:tcPr>
          <w:p w:rsidR="007B6563" w:rsidRDefault="00872DFC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FC">
              <w:rPr>
                <w:rFonts w:ascii="Times New Roman" w:hAnsi="Times New Roman" w:cs="Times New Roman"/>
                <w:sz w:val="24"/>
                <w:szCs w:val="24"/>
              </w:rPr>
              <w:t>Целекоксиб</w:t>
            </w:r>
          </w:p>
        </w:tc>
        <w:tc>
          <w:tcPr>
            <w:tcW w:w="833" w:type="pct"/>
          </w:tcPr>
          <w:p w:rsidR="007B6563" w:rsidRDefault="00077B15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33" w:type="pct"/>
          </w:tcPr>
          <w:p w:rsidR="007B6563" w:rsidRDefault="0045174D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74D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833" w:type="pct"/>
          </w:tcPr>
          <w:p w:rsidR="007B6563" w:rsidRDefault="00450CD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D8">
              <w:rPr>
                <w:rFonts w:ascii="Times New Roman" w:hAnsi="Times New Roman" w:cs="Times New Roman"/>
                <w:sz w:val="24"/>
                <w:szCs w:val="24"/>
              </w:rPr>
              <w:t>0,1-0,2</w:t>
            </w:r>
          </w:p>
        </w:tc>
        <w:tc>
          <w:tcPr>
            <w:tcW w:w="834" w:type="pct"/>
          </w:tcPr>
          <w:p w:rsidR="007B6563" w:rsidRDefault="00B5587B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7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4" w:type="pct"/>
          </w:tcPr>
          <w:p w:rsidR="007B6563" w:rsidRDefault="006A437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6563" w:rsidTr="007B6563">
        <w:tc>
          <w:tcPr>
            <w:tcW w:w="833" w:type="pct"/>
          </w:tcPr>
          <w:p w:rsidR="007B6563" w:rsidRDefault="00872DFC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FC">
              <w:rPr>
                <w:rFonts w:ascii="Times New Roman" w:hAnsi="Times New Roman" w:cs="Times New Roman"/>
                <w:sz w:val="24"/>
                <w:szCs w:val="24"/>
              </w:rPr>
              <w:t>Нимесулид</w:t>
            </w:r>
          </w:p>
        </w:tc>
        <w:tc>
          <w:tcPr>
            <w:tcW w:w="833" w:type="pct"/>
          </w:tcPr>
          <w:p w:rsidR="007B6563" w:rsidRDefault="00077B15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833" w:type="pct"/>
          </w:tcPr>
          <w:p w:rsidR="007B6563" w:rsidRDefault="0045174D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74D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833" w:type="pct"/>
          </w:tcPr>
          <w:p w:rsidR="007B6563" w:rsidRDefault="00450CD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D8">
              <w:rPr>
                <w:rFonts w:ascii="Times New Roman" w:hAnsi="Times New Roman" w:cs="Times New Roman"/>
                <w:sz w:val="24"/>
                <w:szCs w:val="24"/>
              </w:rPr>
              <w:t>0,1-0,2</w:t>
            </w:r>
          </w:p>
        </w:tc>
        <w:tc>
          <w:tcPr>
            <w:tcW w:w="834" w:type="pct"/>
          </w:tcPr>
          <w:p w:rsidR="007B6563" w:rsidRDefault="00B5587B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7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4" w:type="pct"/>
          </w:tcPr>
          <w:p w:rsidR="007B6563" w:rsidRDefault="006A437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B6563" w:rsidTr="007B6563">
        <w:tc>
          <w:tcPr>
            <w:tcW w:w="833" w:type="pct"/>
          </w:tcPr>
          <w:p w:rsidR="007B6563" w:rsidRDefault="00872DFC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FC">
              <w:rPr>
                <w:rFonts w:ascii="Times New Roman" w:hAnsi="Times New Roman" w:cs="Times New Roman"/>
                <w:sz w:val="24"/>
                <w:szCs w:val="24"/>
              </w:rPr>
              <w:t>Напроксен</w:t>
            </w:r>
          </w:p>
        </w:tc>
        <w:tc>
          <w:tcPr>
            <w:tcW w:w="833" w:type="pct"/>
          </w:tcPr>
          <w:p w:rsidR="007B6563" w:rsidRDefault="00077B15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33" w:type="pct"/>
          </w:tcPr>
          <w:p w:rsidR="007B6563" w:rsidRDefault="0045174D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7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3" w:type="pct"/>
          </w:tcPr>
          <w:p w:rsidR="007B6563" w:rsidRDefault="00450CD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D8">
              <w:rPr>
                <w:rFonts w:ascii="Times New Roman" w:hAnsi="Times New Roman" w:cs="Times New Roman"/>
                <w:sz w:val="24"/>
                <w:szCs w:val="24"/>
              </w:rPr>
              <w:t>0,25-0,5</w:t>
            </w:r>
          </w:p>
        </w:tc>
        <w:tc>
          <w:tcPr>
            <w:tcW w:w="834" w:type="pct"/>
          </w:tcPr>
          <w:p w:rsidR="007B6563" w:rsidRDefault="00B5587B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34" w:type="pct"/>
          </w:tcPr>
          <w:p w:rsidR="007B6563" w:rsidRDefault="006A437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B6563" w:rsidTr="007B6563">
        <w:tc>
          <w:tcPr>
            <w:tcW w:w="833" w:type="pct"/>
          </w:tcPr>
          <w:p w:rsidR="007B6563" w:rsidRDefault="00872DFC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FC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833" w:type="pct"/>
          </w:tcPr>
          <w:p w:rsidR="007B6563" w:rsidRDefault="00077B15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0,5-1,5</w:t>
            </w:r>
          </w:p>
        </w:tc>
        <w:tc>
          <w:tcPr>
            <w:tcW w:w="833" w:type="pct"/>
          </w:tcPr>
          <w:p w:rsidR="007B6563" w:rsidRDefault="0045174D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7B6563" w:rsidRDefault="00450CD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D8">
              <w:rPr>
                <w:rFonts w:ascii="Times New Roman" w:hAnsi="Times New Roman" w:cs="Times New Roman"/>
                <w:sz w:val="24"/>
                <w:szCs w:val="24"/>
              </w:rPr>
              <w:t>0,05-0,1</w:t>
            </w:r>
          </w:p>
        </w:tc>
        <w:tc>
          <w:tcPr>
            <w:tcW w:w="834" w:type="pct"/>
          </w:tcPr>
          <w:p w:rsidR="007B6563" w:rsidRDefault="00B5587B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7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4" w:type="pct"/>
          </w:tcPr>
          <w:p w:rsidR="007B6563" w:rsidRDefault="006A437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B6563" w:rsidTr="007B6563">
        <w:tc>
          <w:tcPr>
            <w:tcW w:w="833" w:type="pct"/>
          </w:tcPr>
          <w:p w:rsidR="007B6563" w:rsidRDefault="00872DFC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FC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833" w:type="pct"/>
          </w:tcPr>
          <w:p w:rsidR="007B6563" w:rsidRDefault="00077B15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7B6563" w:rsidRDefault="0045174D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74D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33" w:type="pct"/>
          </w:tcPr>
          <w:p w:rsidR="007B6563" w:rsidRDefault="00450CD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D8">
              <w:rPr>
                <w:rFonts w:ascii="Times New Roman" w:hAnsi="Times New Roman" w:cs="Times New Roman"/>
                <w:sz w:val="24"/>
                <w:szCs w:val="24"/>
              </w:rPr>
              <w:t>0,01-0,03</w:t>
            </w:r>
          </w:p>
        </w:tc>
        <w:tc>
          <w:tcPr>
            <w:tcW w:w="834" w:type="pct"/>
          </w:tcPr>
          <w:p w:rsidR="007B6563" w:rsidRDefault="00B5587B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7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4" w:type="pct"/>
          </w:tcPr>
          <w:p w:rsidR="007B6563" w:rsidRDefault="006A437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6563" w:rsidTr="007B6563">
        <w:tc>
          <w:tcPr>
            <w:tcW w:w="833" w:type="pct"/>
          </w:tcPr>
          <w:p w:rsidR="007B6563" w:rsidRDefault="00976976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76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833" w:type="pct"/>
          </w:tcPr>
          <w:p w:rsidR="007B6563" w:rsidRDefault="00077B15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33" w:type="pct"/>
          </w:tcPr>
          <w:p w:rsidR="007B6563" w:rsidRDefault="0045174D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74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33" w:type="pct"/>
          </w:tcPr>
          <w:p w:rsidR="007B6563" w:rsidRDefault="00450CD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D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34" w:type="pct"/>
          </w:tcPr>
          <w:p w:rsidR="007B6563" w:rsidRDefault="00B5587B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7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34" w:type="pct"/>
          </w:tcPr>
          <w:p w:rsidR="007B6563" w:rsidRDefault="006A437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7B6563" w:rsidTr="007B6563">
        <w:tc>
          <w:tcPr>
            <w:tcW w:w="833" w:type="pct"/>
          </w:tcPr>
          <w:p w:rsidR="007B6563" w:rsidRDefault="00976976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76">
              <w:rPr>
                <w:rFonts w:ascii="Times New Roman" w:hAnsi="Times New Roman" w:cs="Times New Roman"/>
                <w:sz w:val="24"/>
                <w:szCs w:val="24"/>
              </w:rPr>
              <w:t>Аспирин</w:t>
            </w:r>
          </w:p>
        </w:tc>
        <w:tc>
          <w:tcPr>
            <w:tcW w:w="833" w:type="pct"/>
          </w:tcPr>
          <w:p w:rsidR="007B6563" w:rsidRDefault="00077B15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33" w:type="pct"/>
          </w:tcPr>
          <w:p w:rsidR="007B6563" w:rsidRDefault="0045174D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74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833" w:type="pct"/>
          </w:tcPr>
          <w:p w:rsidR="007B6563" w:rsidRDefault="00450CD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D8">
              <w:rPr>
                <w:rFonts w:ascii="Times New Roman" w:hAnsi="Times New Roman" w:cs="Times New Roman"/>
                <w:sz w:val="24"/>
                <w:szCs w:val="24"/>
              </w:rPr>
              <w:t>0,1-0,5-1,0</w:t>
            </w:r>
          </w:p>
        </w:tc>
        <w:tc>
          <w:tcPr>
            <w:tcW w:w="834" w:type="pct"/>
          </w:tcPr>
          <w:p w:rsidR="007B6563" w:rsidRDefault="00B5587B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7B">
              <w:rPr>
                <w:rFonts w:ascii="Times New Roman" w:hAnsi="Times New Roman" w:cs="Times New Roman"/>
                <w:sz w:val="24"/>
                <w:szCs w:val="24"/>
              </w:rPr>
              <w:t>3,0-5,0</w:t>
            </w:r>
          </w:p>
        </w:tc>
        <w:tc>
          <w:tcPr>
            <w:tcW w:w="834" w:type="pct"/>
          </w:tcPr>
          <w:p w:rsidR="007B6563" w:rsidRDefault="006A437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7B6563" w:rsidTr="007B6563">
        <w:tc>
          <w:tcPr>
            <w:tcW w:w="833" w:type="pct"/>
          </w:tcPr>
          <w:p w:rsidR="007B6563" w:rsidRDefault="00976976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76">
              <w:rPr>
                <w:rFonts w:ascii="Times New Roman" w:hAnsi="Times New Roman" w:cs="Times New Roman"/>
                <w:sz w:val="24"/>
                <w:szCs w:val="24"/>
              </w:rPr>
              <w:t>Ацетаминофен</w:t>
            </w:r>
          </w:p>
        </w:tc>
        <w:tc>
          <w:tcPr>
            <w:tcW w:w="833" w:type="pct"/>
          </w:tcPr>
          <w:p w:rsidR="007B6563" w:rsidRDefault="00077B15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15">
              <w:rPr>
                <w:rFonts w:ascii="Times New Roman" w:hAnsi="Times New Roman" w:cs="Times New Roman"/>
                <w:sz w:val="24"/>
                <w:szCs w:val="24"/>
              </w:rPr>
              <w:t>0,5-1,5</w:t>
            </w:r>
          </w:p>
        </w:tc>
        <w:tc>
          <w:tcPr>
            <w:tcW w:w="833" w:type="pct"/>
          </w:tcPr>
          <w:p w:rsidR="007B6563" w:rsidRDefault="0045174D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74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33" w:type="pct"/>
          </w:tcPr>
          <w:p w:rsidR="007B6563" w:rsidRDefault="00450CD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4" w:type="pct"/>
          </w:tcPr>
          <w:p w:rsidR="007B6563" w:rsidRDefault="00B5587B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34" w:type="pct"/>
          </w:tcPr>
          <w:p w:rsidR="007B6563" w:rsidRDefault="006A4378" w:rsidP="007B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</w:tbl>
    <w:p w:rsidR="00F178AA" w:rsidRPr="00F178AA" w:rsidRDefault="00F178AA" w:rsidP="00F178AA">
      <w:pPr>
        <w:rPr>
          <w:rFonts w:ascii="Times New Roman" w:hAnsi="Times New Roman" w:cs="Times New Roman"/>
          <w:sz w:val="24"/>
          <w:szCs w:val="24"/>
        </w:rPr>
      </w:pPr>
      <w:r w:rsidRPr="00F178AA">
        <w:rPr>
          <w:rFonts w:ascii="Times New Roman" w:hAnsi="Times New Roman" w:cs="Times New Roman"/>
          <w:sz w:val="24"/>
          <w:szCs w:val="24"/>
        </w:rPr>
        <w:t>•    - препараты расположены в порядке убывания их противовоспалительной активности</w:t>
      </w:r>
    </w:p>
    <w:p w:rsidR="00F178AA" w:rsidRPr="00F178AA" w:rsidRDefault="00F178AA" w:rsidP="00F178AA">
      <w:pPr>
        <w:rPr>
          <w:rFonts w:ascii="Times New Roman" w:hAnsi="Times New Roman" w:cs="Times New Roman"/>
          <w:sz w:val="24"/>
          <w:szCs w:val="24"/>
        </w:rPr>
      </w:pPr>
    </w:p>
    <w:p w:rsidR="00F178AA" w:rsidRPr="00F178AA" w:rsidRDefault="00F178AA" w:rsidP="00F178AA">
      <w:pPr>
        <w:rPr>
          <w:rFonts w:ascii="Times New Roman" w:hAnsi="Times New Roman" w:cs="Times New Roman"/>
          <w:sz w:val="24"/>
          <w:szCs w:val="24"/>
        </w:rPr>
      </w:pPr>
      <w:r w:rsidRPr="00F178AA">
        <w:rPr>
          <w:rFonts w:ascii="Times New Roman" w:hAnsi="Times New Roman" w:cs="Times New Roman"/>
          <w:sz w:val="24"/>
          <w:szCs w:val="24"/>
        </w:rPr>
        <w:t xml:space="preserve"> В последние годы созданы модифицированные формы </w:t>
      </w:r>
      <w:proofErr w:type="gramStart"/>
      <w:r w:rsidRPr="00F178AA">
        <w:rPr>
          <w:rFonts w:ascii="Times New Roman" w:hAnsi="Times New Roman" w:cs="Times New Roman"/>
          <w:sz w:val="24"/>
          <w:szCs w:val="24"/>
        </w:rPr>
        <w:t>известных</w:t>
      </w:r>
      <w:proofErr w:type="gramEnd"/>
      <w:r w:rsidRPr="00F178AA">
        <w:rPr>
          <w:rFonts w:ascii="Times New Roman" w:hAnsi="Times New Roman" w:cs="Times New Roman"/>
          <w:sz w:val="24"/>
          <w:szCs w:val="24"/>
        </w:rPr>
        <w:t xml:space="preserve"> НПВП с измененными физико-химическими, фармакодинамическими и фармакокинетическими параметрами, позволяющими обеспечить более быстрое, по сравнению с традиционными лекарственными формами, наступление эффективной аналгезии. Такими препаратами являются диклофенака калиевая соль (Вольтарен–рапид), ибупрофен в виде соли L-аргинина (Фаспик) и декскетопрофена трометамол (Дексалгин). Эти препараты рекомендованы для краткосрочного лечения головных болей, мигрени, почечной и печеночной колики, спортивных и профессиональных травматических болей, альгоменореи (</w:t>
      </w:r>
      <w:proofErr w:type="gramStart"/>
      <w:r w:rsidRPr="00F178AA">
        <w:rPr>
          <w:rFonts w:ascii="Times New Roman" w:hAnsi="Times New Roman" w:cs="Times New Roman"/>
          <w:sz w:val="24"/>
          <w:szCs w:val="24"/>
        </w:rPr>
        <w:t>табл</w:t>
      </w:r>
      <w:proofErr w:type="gramEnd"/>
      <w:r w:rsidRPr="00F178AA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F178AA" w:rsidRPr="00F178AA" w:rsidRDefault="00F178AA" w:rsidP="00F178AA">
      <w:pPr>
        <w:rPr>
          <w:rFonts w:ascii="Times New Roman" w:hAnsi="Times New Roman" w:cs="Times New Roman"/>
          <w:sz w:val="24"/>
          <w:szCs w:val="24"/>
        </w:rPr>
      </w:pPr>
    </w:p>
    <w:p w:rsidR="007B6563" w:rsidRDefault="00F178AA" w:rsidP="00F178AA">
      <w:pPr>
        <w:rPr>
          <w:rFonts w:ascii="Times New Roman" w:hAnsi="Times New Roman" w:cs="Times New Roman"/>
          <w:sz w:val="24"/>
          <w:szCs w:val="24"/>
        </w:rPr>
      </w:pPr>
      <w:r w:rsidRPr="00F178AA">
        <w:rPr>
          <w:rFonts w:ascii="Times New Roman" w:hAnsi="Times New Roman" w:cs="Times New Roman"/>
          <w:sz w:val="24"/>
          <w:szCs w:val="24"/>
        </w:rPr>
        <w:t>Таблица 3. Сравнительная характеристика фармакокинетических параметров "традиционных" и "модифицированных" форм НПВП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1B17D6" w:rsidTr="00A85B77">
        <w:tc>
          <w:tcPr>
            <w:tcW w:w="1526" w:type="dxa"/>
            <w:vMerge w:val="restart"/>
          </w:tcPr>
          <w:p w:rsidR="001B17D6" w:rsidRDefault="001B17D6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3052" w:type="dxa"/>
            <w:gridSpan w:val="2"/>
          </w:tcPr>
          <w:p w:rsidR="001B17D6" w:rsidRDefault="001B17D6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052" w:type="dxa"/>
            <w:gridSpan w:val="2"/>
          </w:tcPr>
          <w:p w:rsidR="001B17D6" w:rsidRDefault="001B17D6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52" w:type="dxa"/>
            <w:gridSpan w:val="2"/>
          </w:tcPr>
          <w:p w:rsidR="001B17D6" w:rsidRDefault="001B17D6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</w:tr>
      <w:tr w:rsidR="001B17D6" w:rsidTr="00A85B77">
        <w:tc>
          <w:tcPr>
            <w:tcW w:w="1526" w:type="dxa"/>
            <w:vMerge/>
          </w:tcPr>
          <w:p w:rsidR="001B17D6" w:rsidRDefault="001B17D6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1B17D6" w:rsidRPr="001B17D6" w:rsidRDefault="001B17D6" w:rsidP="001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>Na соль</w:t>
            </w:r>
          </w:p>
          <w:p w:rsidR="001B17D6" w:rsidRPr="001B17D6" w:rsidRDefault="001B17D6" w:rsidP="001B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D6" w:rsidRPr="001B17D6" w:rsidRDefault="001B17D6" w:rsidP="001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 xml:space="preserve"> 50 мг</w:t>
            </w:r>
          </w:p>
          <w:p w:rsidR="001B17D6" w:rsidRDefault="001B17D6" w:rsidP="001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B17D6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gramEnd"/>
            <w:r w:rsidRPr="001B1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6" w:type="dxa"/>
          </w:tcPr>
          <w:p w:rsidR="001B17D6" w:rsidRPr="001B17D6" w:rsidRDefault="001B17D6" w:rsidP="001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>К соль</w:t>
            </w:r>
          </w:p>
          <w:p w:rsidR="001B17D6" w:rsidRPr="001B17D6" w:rsidRDefault="001B17D6" w:rsidP="001B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D6" w:rsidRPr="001B17D6" w:rsidRDefault="001B17D6" w:rsidP="001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 xml:space="preserve"> 50 мг</w:t>
            </w:r>
          </w:p>
          <w:p w:rsidR="001B17D6" w:rsidRDefault="001B17D6" w:rsidP="001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>(саше)</w:t>
            </w:r>
          </w:p>
        </w:tc>
        <w:tc>
          <w:tcPr>
            <w:tcW w:w="1526" w:type="dxa"/>
          </w:tcPr>
          <w:p w:rsidR="001B17D6" w:rsidRPr="001B17D6" w:rsidRDefault="001B17D6" w:rsidP="001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L-аргинин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B17D6" w:rsidRPr="001B17D6" w:rsidRDefault="001B17D6" w:rsidP="001B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D6" w:rsidRDefault="001B17D6" w:rsidP="001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 xml:space="preserve"> 200 мг</w:t>
            </w:r>
          </w:p>
        </w:tc>
        <w:tc>
          <w:tcPr>
            <w:tcW w:w="1526" w:type="dxa"/>
          </w:tcPr>
          <w:p w:rsidR="00A85B77" w:rsidRPr="00A85B77" w:rsidRDefault="00A85B77" w:rsidP="00A8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77">
              <w:rPr>
                <w:rFonts w:ascii="Times New Roman" w:hAnsi="Times New Roman" w:cs="Times New Roman"/>
                <w:sz w:val="24"/>
                <w:szCs w:val="24"/>
              </w:rPr>
              <w:t>L-аргинин</w:t>
            </w:r>
            <w:proofErr w:type="gramStart"/>
            <w:r w:rsidRPr="00A85B77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  <w:p w:rsidR="00A85B77" w:rsidRPr="00A85B77" w:rsidRDefault="00A85B77" w:rsidP="00A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D6" w:rsidRDefault="00A85B77" w:rsidP="00A8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77">
              <w:rPr>
                <w:rFonts w:ascii="Times New Roman" w:hAnsi="Times New Roman" w:cs="Times New Roman"/>
                <w:sz w:val="24"/>
                <w:szCs w:val="24"/>
              </w:rPr>
              <w:t xml:space="preserve"> 200 мг</w:t>
            </w:r>
          </w:p>
        </w:tc>
        <w:tc>
          <w:tcPr>
            <w:tcW w:w="1526" w:type="dxa"/>
          </w:tcPr>
          <w:p w:rsidR="00A85B77" w:rsidRPr="00A85B77" w:rsidRDefault="00A85B77" w:rsidP="00A8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77">
              <w:rPr>
                <w:rFonts w:ascii="Times New Roman" w:hAnsi="Times New Roman" w:cs="Times New Roman"/>
                <w:sz w:val="24"/>
                <w:szCs w:val="24"/>
              </w:rPr>
              <w:t>S+R-изомер</w:t>
            </w:r>
          </w:p>
          <w:p w:rsidR="00A85B77" w:rsidRPr="00A85B77" w:rsidRDefault="00A85B77" w:rsidP="00A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D6" w:rsidRDefault="00A85B77" w:rsidP="00A8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77">
              <w:rPr>
                <w:rFonts w:ascii="Times New Roman" w:hAnsi="Times New Roman" w:cs="Times New Roman"/>
                <w:sz w:val="24"/>
                <w:szCs w:val="24"/>
              </w:rPr>
              <w:t xml:space="preserve"> 25 мг</w:t>
            </w:r>
          </w:p>
        </w:tc>
        <w:tc>
          <w:tcPr>
            <w:tcW w:w="1526" w:type="dxa"/>
          </w:tcPr>
          <w:p w:rsidR="00A85B77" w:rsidRPr="00A85B77" w:rsidRDefault="00A85B77" w:rsidP="00A8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77">
              <w:rPr>
                <w:rFonts w:ascii="Times New Roman" w:hAnsi="Times New Roman" w:cs="Times New Roman"/>
                <w:sz w:val="24"/>
                <w:szCs w:val="24"/>
              </w:rPr>
              <w:t>S–изомер</w:t>
            </w:r>
          </w:p>
          <w:p w:rsidR="00A85B77" w:rsidRPr="00A85B77" w:rsidRDefault="00A85B77" w:rsidP="00A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D6" w:rsidRDefault="00A85B77" w:rsidP="00A8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77">
              <w:rPr>
                <w:rFonts w:ascii="Times New Roman" w:hAnsi="Times New Roman" w:cs="Times New Roman"/>
                <w:sz w:val="24"/>
                <w:szCs w:val="24"/>
              </w:rPr>
              <w:t xml:space="preserve"> 25 мг</w:t>
            </w:r>
          </w:p>
        </w:tc>
      </w:tr>
      <w:tr w:rsidR="00F178AA" w:rsidTr="00A85B77">
        <w:tc>
          <w:tcPr>
            <w:tcW w:w="1526" w:type="dxa"/>
          </w:tcPr>
          <w:p w:rsidR="00F178AA" w:rsidRDefault="001B17D6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>Tmax   (мин)</w:t>
            </w:r>
          </w:p>
        </w:tc>
        <w:tc>
          <w:tcPr>
            <w:tcW w:w="1526" w:type="dxa"/>
          </w:tcPr>
          <w:p w:rsidR="00F178AA" w:rsidRDefault="006B6B1B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B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6" w:type="dxa"/>
          </w:tcPr>
          <w:p w:rsidR="00F178AA" w:rsidRDefault="00E45F8D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</w:tcPr>
          <w:p w:rsidR="00F178AA" w:rsidRDefault="00E45F8D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6" w:type="dxa"/>
          </w:tcPr>
          <w:p w:rsidR="00F178AA" w:rsidRDefault="00E45F8D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</w:tcPr>
          <w:p w:rsidR="00F178AA" w:rsidRDefault="00E45F8D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D">
              <w:rPr>
                <w:rFonts w:ascii="Times New Roman" w:hAnsi="Times New Roman" w:cs="Times New Roman"/>
                <w:sz w:val="24"/>
                <w:szCs w:val="24"/>
              </w:rPr>
              <w:t>60-120</w:t>
            </w:r>
          </w:p>
        </w:tc>
        <w:tc>
          <w:tcPr>
            <w:tcW w:w="1526" w:type="dxa"/>
          </w:tcPr>
          <w:p w:rsidR="00F178AA" w:rsidRDefault="00E45F8D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178AA" w:rsidTr="00A85B77">
        <w:tc>
          <w:tcPr>
            <w:tcW w:w="1526" w:type="dxa"/>
          </w:tcPr>
          <w:p w:rsidR="00F178AA" w:rsidRDefault="001B17D6" w:rsidP="001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T½   </w:t>
            </w:r>
            <w:r w:rsidRPr="001B17D6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1526" w:type="dxa"/>
          </w:tcPr>
          <w:p w:rsidR="00F178AA" w:rsidRDefault="006B6B1B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B1B">
              <w:rPr>
                <w:rFonts w:ascii="Times New Roman" w:hAnsi="Times New Roman" w:cs="Times New Roman"/>
                <w:sz w:val="24"/>
                <w:szCs w:val="24"/>
              </w:rPr>
              <w:t>60-120</w:t>
            </w:r>
          </w:p>
        </w:tc>
        <w:tc>
          <w:tcPr>
            <w:tcW w:w="1526" w:type="dxa"/>
          </w:tcPr>
          <w:p w:rsidR="00F178AA" w:rsidRDefault="006B6B1B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B1B">
              <w:rPr>
                <w:rFonts w:ascii="Times New Roman" w:hAnsi="Times New Roman" w:cs="Times New Roman"/>
                <w:sz w:val="24"/>
                <w:szCs w:val="24"/>
              </w:rPr>
              <w:t>60-120</w:t>
            </w:r>
          </w:p>
        </w:tc>
        <w:tc>
          <w:tcPr>
            <w:tcW w:w="1526" w:type="dxa"/>
          </w:tcPr>
          <w:p w:rsidR="00F178AA" w:rsidRDefault="00E45F8D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D">
              <w:rPr>
                <w:rFonts w:ascii="Times New Roman" w:hAnsi="Times New Roman" w:cs="Times New Roman"/>
                <w:sz w:val="24"/>
                <w:szCs w:val="24"/>
              </w:rPr>
              <w:t>120-180</w:t>
            </w:r>
          </w:p>
        </w:tc>
        <w:tc>
          <w:tcPr>
            <w:tcW w:w="1526" w:type="dxa"/>
          </w:tcPr>
          <w:p w:rsidR="00F178AA" w:rsidRDefault="006B6B1B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B1B">
              <w:rPr>
                <w:rFonts w:ascii="Times New Roman" w:hAnsi="Times New Roman" w:cs="Times New Roman"/>
                <w:sz w:val="24"/>
                <w:szCs w:val="24"/>
              </w:rPr>
              <w:t>60-120</w:t>
            </w:r>
          </w:p>
        </w:tc>
        <w:tc>
          <w:tcPr>
            <w:tcW w:w="1526" w:type="dxa"/>
          </w:tcPr>
          <w:p w:rsidR="00F178AA" w:rsidRDefault="00E45F8D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5F8D">
              <w:rPr>
                <w:rFonts w:ascii="Times New Roman" w:hAnsi="Times New Roman" w:cs="Times New Roman"/>
                <w:sz w:val="24"/>
                <w:szCs w:val="24"/>
              </w:rPr>
              <w:t>0-120</w:t>
            </w:r>
          </w:p>
        </w:tc>
        <w:tc>
          <w:tcPr>
            <w:tcW w:w="1526" w:type="dxa"/>
          </w:tcPr>
          <w:p w:rsidR="00F178AA" w:rsidRDefault="00E45F8D" w:rsidP="00F1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D">
              <w:rPr>
                <w:rFonts w:ascii="Times New Roman" w:hAnsi="Times New Roman" w:cs="Times New Roman"/>
                <w:sz w:val="24"/>
                <w:szCs w:val="24"/>
              </w:rPr>
              <w:t>240-360</w:t>
            </w:r>
          </w:p>
        </w:tc>
      </w:tr>
    </w:tbl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Взаимодействие НПВП с другими лекарственными препаратами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Совместное применение двух и более НПВП значительно повышает риск развития нежелательных явлений и не повышает эффективность лечения. Исключение составляет комбинация парацетамола с ацетилсалициловой кислотой, при которой суммирование обезболивающего действия не сопровождается усилением отрицательных влияний на ЖКТ. При одновременном назначении кортикостероидов и НПВП необходима особая осторожность, поскольку возрастает вероятность развития язвенных поражений пищеварительного тракта. Существует синергизм в болеутоляющем действии между НПВП и опиатными анальгетиками. В терминальных стадиях онкологических заболеваний применение НПВП позволяет уменьшить дозы опиатов и замедляет развитие толерантности. НПВП усиливают токсическое действие иммунодепрессантов (метотрексат, циклоспорин) на кроветворение, почки и печень.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НПВП усиливают эффекты антитромбоцитарных средств и антикоагулянтов прямого и непрямого действия. Кроме того, НПВП способны вытеснять антикоагулянты непрямого действия из связи с белками плазмы, тем самым также усиливая их эффект.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НПВП подавляют образование простагландинов в почках и уменьшают выведение натрия и воды, тем самым снижают эффективность и повышают нефротоксичность петлевых диуретиков. Сочетание индометацина с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калийсберегающими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диуретиками приводит к развитию гиперкалиемии. НПВП тормозят гипотензивное действие тиазидовых диуретиков, в свою очередь тиазидовые диуретики и фуросемид замедляют выделение салицилатов почками. Снижая почечную экскрецию натрия и воды и уменьшая выработку простациклина, НПВП тормозят также гипотензивное действие бета-адреноблокаторов и антагонистов ангиотензина-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. В свою очередь бета-адреноблокаторы уменьшают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противовоспалитель-ный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эффект салицилатов.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Не следует применять НПВП одновременно с фторхинолонами (ципрофлоксацин, офлоксацин, пефлоксацин), так как возможны побочные эффекты со стороны ЦНС (головные боли, нарушения сна, тревога и даже депрессии и галлюцинации). Неприемлемой считается комбинация аминогликозидов с производными салицилатов или пиразолона.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Сульфонамиды (целекоксиб) противопоказаны при выраженной аллергии на сульфаниламиды.</w:t>
      </w:r>
      <w:proofErr w:type="gramEnd"/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НПВП в больших дозах вызывают сахаропонижающее действие, сочетание их с инсулином или пероральными антидиабетическими средствами может вызвать усиление гипогликемического эффекта. Они повышают чувствительность миокарда к сердечным гликозидам за счет снижения уровня калия в плазме и вытеснения гликозидов из связи с белками плазмы. Так же, за счет вытеснения из связи с белками плазмы, салицилаты повышают уровень свободных трициклических антидепрессантов и их эффект. Местные нежелательные эффекты ацетилсалициловой кислоты в желудке усиливаются под влиянием м-холиноблокаторов, которые замедляют ее эвакуацию в кишечник.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Побочные эффекты НПВП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К наиболее частым этим побочным эффектам НПВП относятся поражения ЖКТ, нарушения функции почек, агрегации тромбоцитов и связанные с ними нарушения функций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системы. Другие побочные эффекты встречаются значительно реже (табл. 4).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Большинство НПВП являются кислотами, что определяет их высокое сродство к белкам и способность накапливаются в воспаленной ткани, в слизистой желудка, корковом слое почек, в крови и костном мозге. Благодаря этим свойствам развиваются не только лечебные, но и побочные эффекты НПВП. Эти реакции связаны,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по-видимому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с ингибированием ЦОГ-1, однако, даже у селективных ЦОГ-2-ингибиторов сохраняется вероятность ингибирования ЦОГ-1, поэтому в аннотациях для любых НПВП список противопоказаний примерно одинаковый.</w:t>
      </w:r>
    </w:p>
    <w:p w:rsidR="00F178AA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lastRenderedPageBreak/>
        <w:t>Таблица 4. Побочные эффекты, отмечаемые при приеме НПВП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168D1" w:rsidTr="00E168D1">
        <w:tc>
          <w:tcPr>
            <w:tcW w:w="1666" w:type="pct"/>
          </w:tcPr>
          <w:p w:rsidR="00E168D1" w:rsidRDefault="002902D5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D5">
              <w:rPr>
                <w:rFonts w:ascii="Times New Roman" w:hAnsi="Times New Roman" w:cs="Times New Roman"/>
                <w:sz w:val="24"/>
                <w:szCs w:val="24"/>
              </w:rPr>
              <w:t>Орган или система органов</w:t>
            </w:r>
          </w:p>
        </w:tc>
        <w:tc>
          <w:tcPr>
            <w:tcW w:w="1667" w:type="pct"/>
          </w:tcPr>
          <w:p w:rsidR="00E168D1" w:rsidRDefault="002902D5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D5">
              <w:rPr>
                <w:rFonts w:ascii="Times New Roman" w:hAnsi="Times New Roman" w:cs="Times New Roman"/>
                <w:sz w:val="24"/>
                <w:szCs w:val="24"/>
              </w:rPr>
              <w:t>Побочные эффекты, отмечаемые при приеме НПВП</w:t>
            </w:r>
          </w:p>
        </w:tc>
        <w:tc>
          <w:tcPr>
            <w:tcW w:w="1667" w:type="pct"/>
          </w:tcPr>
          <w:p w:rsidR="002902D5" w:rsidRPr="002902D5" w:rsidRDefault="002902D5" w:rsidP="0029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D5">
              <w:rPr>
                <w:rFonts w:ascii="Times New Roman" w:hAnsi="Times New Roman" w:cs="Times New Roman"/>
                <w:sz w:val="24"/>
                <w:szCs w:val="24"/>
              </w:rPr>
              <w:t>Частота встречаемости</w:t>
            </w:r>
          </w:p>
          <w:p w:rsidR="00E168D1" w:rsidRDefault="002902D5" w:rsidP="0029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D5">
              <w:rPr>
                <w:rFonts w:ascii="Times New Roman" w:hAnsi="Times New Roman" w:cs="Times New Roman"/>
                <w:sz w:val="24"/>
                <w:szCs w:val="24"/>
              </w:rPr>
              <w:t>(%%)</w:t>
            </w:r>
          </w:p>
        </w:tc>
      </w:tr>
      <w:tr w:rsidR="00E168D1" w:rsidTr="00E168D1">
        <w:tc>
          <w:tcPr>
            <w:tcW w:w="1666" w:type="pct"/>
          </w:tcPr>
          <w:p w:rsidR="00E168D1" w:rsidRDefault="00B03242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42">
              <w:rPr>
                <w:rFonts w:ascii="Times New Roman" w:hAnsi="Times New Roman" w:cs="Times New Roman"/>
                <w:sz w:val="24"/>
                <w:szCs w:val="24"/>
              </w:rPr>
              <w:t>Желудочно-кишечный тракт</w:t>
            </w:r>
          </w:p>
        </w:tc>
        <w:tc>
          <w:tcPr>
            <w:tcW w:w="1667" w:type="pct"/>
          </w:tcPr>
          <w:p w:rsidR="00A05DFF" w:rsidRPr="00A05DFF" w:rsidRDefault="00A05DFF" w:rsidP="00A0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Тошнота, рвота, диарея, запор; эрозии и пептические язвы желудка и 12-перстной кишки; эзофагит; стриктуры; желудочно-кишечные кровотечения;</w:t>
            </w:r>
          </w:p>
          <w:p w:rsidR="00E168D1" w:rsidRDefault="00A05DFF" w:rsidP="00A0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Эрозии тонкого кишечника</w:t>
            </w:r>
          </w:p>
        </w:tc>
        <w:tc>
          <w:tcPr>
            <w:tcW w:w="1667" w:type="pct"/>
          </w:tcPr>
          <w:p w:rsidR="00A05DFF" w:rsidRPr="00A05DFF" w:rsidRDefault="00A05DFF" w:rsidP="00A0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  <w:p w:rsidR="00A05DFF" w:rsidRPr="00A05DFF" w:rsidRDefault="00A05DFF" w:rsidP="00A0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FF" w:rsidRDefault="00A05DFF" w:rsidP="00A0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DFF" w:rsidRDefault="00A05DFF" w:rsidP="00A0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FF" w:rsidRDefault="00A05DFF" w:rsidP="00A0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FF" w:rsidRDefault="00A05DFF" w:rsidP="00A0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D1" w:rsidRDefault="00A05DFF" w:rsidP="00A0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E168D1" w:rsidTr="00E168D1">
        <w:tc>
          <w:tcPr>
            <w:tcW w:w="1666" w:type="pct"/>
          </w:tcPr>
          <w:p w:rsidR="00E168D1" w:rsidRDefault="00B03242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42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1667" w:type="pct"/>
          </w:tcPr>
          <w:p w:rsidR="00E168D1" w:rsidRDefault="00CA138A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8A">
              <w:rPr>
                <w:rFonts w:ascii="Times New Roman" w:hAnsi="Times New Roman" w:cs="Times New Roman"/>
                <w:sz w:val="24"/>
                <w:szCs w:val="24"/>
              </w:rPr>
              <w:t>Токсические поражения печени, гепатит, печеночная недостаточность</w:t>
            </w:r>
          </w:p>
        </w:tc>
        <w:tc>
          <w:tcPr>
            <w:tcW w:w="1667" w:type="pct"/>
          </w:tcPr>
          <w:p w:rsidR="00E168D1" w:rsidRDefault="00CA138A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E168D1" w:rsidTr="00E168D1">
        <w:tc>
          <w:tcPr>
            <w:tcW w:w="1666" w:type="pct"/>
          </w:tcPr>
          <w:p w:rsidR="00E168D1" w:rsidRDefault="00B03242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Почки</w:t>
            </w:r>
          </w:p>
        </w:tc>
        <w:tc>
          <w:tcPr>
            <w:tcW w:w="1667" w:type="pct"/>
          </w:tcPr>
          <w:p w:rsidR="00E168D1" w:rsidRDefault="00947630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30">
              <w:rPr>
                <w:rFonts w:ascii="Times New Roman" w:hAnsi="Times New Roman" w:cs="Times New Roman"/>
                <w:sz w:val="24"/>
                <w:szCs w:val="24"/>
              </w:rPr>
              <w:t>Нефропатия, нарушение клубочковой фильтрации и функций канальцев, задержка жидкости в организме, отеки, снижение выведения натрия под действием диуретиков, интерстициальный нефрит</w:t>
            </w:r>
          </w:p>
        </w:tc>
        <w:tc>
          <w:tcPr>
            <w:tcW w:w="1667" w:type="pct"/>
          </w:tcPr>
          <w:p w:rsidR="00E168D1" w:rsidRDefault="00947630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E168D1" w:rsidTr="00E168D1">
        <w:tc>
          <w:tcPr>
            <w:tcW w:w="1666" w:type="pct"/>
          </w:tcPr>
          <w:p w:rsidR="00E168D1" w:rsidRDefault="00B03242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242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</w:p>
        </w:tc>
        <w:tc>
          <w:tcPr>
            <w:tcW w:w="1667" w:type="pct"/>
          </w:tcPr>
          <w:p w:rsidR="00E168D1" w:rsidRDefault="00550A14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14">
              <w:rPr>
                <w:rFonts w:ascii="Times New Roman" w:hAnsi="Times New Roman" w:cs="Times New Roman"/>
                <w:sz w:val="24"/>
                <w:szCs w:val="24"/>
              </w:rPr>
              <w:t>Повышение АД, задержка жидкости и увеличение ОЦК</w:t>
            </w:r>
          </w:p>
        </w:tc>
        <w:tc>
          <w:tcPr>
            <w:tcW w:w="1667" w:type="pct"/>
          </w:tcPr>
          <w:p w:rsidR="00E168D1" w:rsidRDefault="00410B9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F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E168D1" w:rsidTr="00E168D1">
        <w:tc>
          <w:tcPr>
            <w:tcW w:w="1666" w:type="pct"/>
          </w:tcPr>
          <w:p w:rsidR="00E168D1" w:rsidRDefault="00B03242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42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667" w:type="pct"/>
          </w:tcPr>
          <w:p w:rsidR="00E168D1" w:rsidRDefault="00410B9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9B">
              <w:rPr>
                <w:rFonts w:ascii="Times New Roman" w:hAnsi="Times New Roman" w:cs="Times New Roman"/>
                <w:sz w:val="24"/>
                <w:szCs w:val="24"/>
              </w:rPr>
              <w:t>Анемия, в т.ч. Кумбса; угнетение костного мозга – лейкопения и агранулоцитоз; нарушение агрегации тромбоцитов</w:t>
            </w:r>
          </w:p>
        </w:tc>
        <w:tc>
          <w:tcPr>
            <w:tcW w:w="1667" w:type="pct"/>
          </w:tcPr>
          <w:p w:rsidR="00E168D1" w:rsidRDefault="00410B9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9B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  <w:tr w:rsidR="00E168D1" w:rsidTr="00E168D1">
        <w:tc>
          <w:tcPr>
            <w:tcW w:w="1666" w:type="pct"/>
          </w:tcPr>
          <w:p w:rsidR="00E168D1" w:rsidRDefault="00B03242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42">
              <w:rPr>
                <w:rFonts w:ascii="Times New Roman" w:hAnsi="Times New Roman" w:cs="Times New Roman"/>
                <w:sz w:val="24"/>
                <w:szCs w:val="24"/>
              </w:rPr>
              <w:t>Центральная нервная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667" w:type="pct"/>
          </w:tcPr>
          <w:p w:rsidR="00410B9B" w:rsidRPr="00410B9B" w:rsidRDefault="00410B9B" w:rsidP="004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9B">
              <w:rPr>
                <w:rFonts w:ascii="Times New Roman" w:hAnsi="Times New Roman" w:cs="Times New Roman"/>
                <w:sz w:val="24"/>
                <w:szCs w:val="24"/>
              </w:rPr>
              <w:t>Головная боль, спутанность сознания, галлюцинации, депрессии, тремор, шум в ушах, головокружение, токсическая амблиопия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8D1" w:rsidRDefault="00410B9B" w:rsidP="004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9B">
              <w:rPr>
                <w:rFonts w:ascii="Times New Roman" w:hAnsi="Times New Roman" w:cs="Times New Roman"/>
                <w:sz w:val="24"/>
                <w:szCs w:val="24"/>
              </w:rPr>
              <w:t>Асептический менингит</w:t>
            </w:r>
          </w:p>
        </w:tc>
        <w:tc>
          <w:tcPr>
            <w:tcW w:w="1667" w:type="pct"/>
          </w:tcPr>
          <w:p w:rsidR="00410B9B" w:rsidRPr="00410B9B" w:rsidRDefault="00410B9B" w:rsidP="004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9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410B9B" w:rsidRPr="00410B9B" w:rsidRDefault="00410B9B" w:rsidP="004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9B" w:rsidRDefault="00410B9B" w:rsidP="004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B9B" w:rsidRDefault="00410B9B" w:rsidP="004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9B" w:rsidRDefault="00410B9B" w:rsidP="004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D1" w:rsidRDefault="00410B9B" w:rsidP="004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168D1" w:rsidTr="00E168D1">
        <w:tc>
          <w:tcPr>
            <w:tcW w:w="1666" w:type="pct"/>
          </w:tcPr>
          <w:p w:rsidR="00E168D1" w:rsidRDefault="00B03242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42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</w:p>
        </w:tc>
        <w:tc>
          <w:tcPr>
            <w:tcW w:w="1667" w:type="pct"/>
          </w:tcPr>
          <w:p w:rsidR="00E168D1" w:rsidRDefault="006B02C3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C3">
              <w:rPr>
                <w:rFonts w:ascii="Times New Roman" w:hAnsi="Times New Roman" w:cs="Times New Roman"/>
                <w:sz w:val="24"/>
                <w:szCs w:val="24"/>
              </w:rPr>
              <w:t>Обострение бронхиальной астмы у пациентов с ринитом, носовыми полипами и крапивницей (синдром Видаля)</w:t>
            </w:r>
          </w:p>
        </w:tc>
        <w:tc>
          <w:tcPr>
            <w:tcW w:w="1667" w:type="pct"/>
          </w:tcPr>
          <w:p w:rsidR="00E168D1" w:rsidRDefault="006E2875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75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  <w:tr w:rsidR="00E168D1" w:rsidTr="00E168D1">
        <w:tc>
          <w:tcPr>
            <w:tcW w:w="1666" w:type="pct"/>
          </w:tcPr>
          <w:p w:rsidR="00E168D1" w:rsidRDefault="00B03242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42">
              <w:rPr>
                <w:rFonts w:ascii="Times New Roman" w:hAnsi="Times New Roman" w:cs="Times New Roman"/>
                <w:sz w:val="24"/>
                <w:szCs w:val="24"/>
              </w:rPr>
              <w:t>Иммунная</w:t>
            </w:r>
          </w:p>
        </w:tc>
        <w:tc>
          <w:tcPr>
            <w:tcW w:w="1667" w:type="pct"/>
          </w:tcPr>
          <w:p w:rsidR="00E168D1" w:rsidRDefault="006B02C3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C3">
              <w:rPr>
                <w:rFonts w:ascii="Times New Roman" w:hAnsi="Times New Roman" w:cs="Times New Roman"/>
                <w:sz w:val="24"/>
                <w:szCs w:val="24"/>
              </w:rPr>
              <w:t>Гиперчувствительность: крапивница, кожная сыпь, зуд, пневмонит</w:t>
            </w:r>
          </w:p>
        </w:tc>
        <w:tc>
          <w:tcPr>
            <w:tcW w:w="1667" w:type="pct"/>
          </w:tcPr>
          <w:p w:rsidR="00E168D1" w:rsidRDefault="006E2875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75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  <w:tr w:rsidR="00E168D1" w:rsidTr="00E168D1">
        <w:tc>
          <w:tcPr>
            <w:tcW w:w="1666" w:type="pct"/>
          </w:tcPr>
          <w:p w:rsidR="00E168D1" w:rsidRDefault="00B03242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4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667" w:type="pct"/>
          </w:tcPr>
          <w:p w:rsidR="00E168D1" w:rsidRDefault="006B02C3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C3">
              <w:rPr>
                <w:rFonts w:ascii="Times New Roman" w:hAnsi="Times New Roman" w:cs="Times New Roman"/>
                <w:sz w:val="24"/>
                <w:szCs w:val="24"/>
              </w:rPr>
              <w:t>Ототоксичность, стоматит, васкулит, бесплодие, повреждение хрящевой ткани</w:t>
            </w:r>
          </w:p>
        </w:tc>
        <w:tc>
          <w:tcPr>
            <w:tcW w:w="1667" w:type="pct"/>
          </w:tcPr>
          <w:p w:rsidR="00E168D1" w:rsidRDefault="006E2875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75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</w:tbl>
    <w:p w:rsid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Наиболее часто при применении НПВП наблюдаются поражения желудка и 12-перстной кишки. Выраженность НПВП-гастропатий колеблется от бессимптомного поражения слизистой, которое определяется только эндоскопически, до боли в желудке, изжоги, диспепсии и кровотечений из язв желудка и 12-перстной кишки. По способности вызывать осложнения со стороны ЖКТ отдельные НПВП можно расположить в следующей последовательности: индометацин ≥ пироксикам = кеторолак &gt; напроксен &gt; диклофенак &gt; мелоксикам &gt; ибупрофен &gt; целекоксиб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lastRenderedPageBreak/>
        <w:t xml:space="preserve"> Определены факторы риска для развития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вызванных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НПВП индуцированных гастроэнтеропатий: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- одновременное лечение кортикостероидами или несколькими НПВП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- язвенный анамнез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- высокие дозы и большая продолжительность лечения НПВП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- значительный возраст пациента (старше 65 лет)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- алкоголизм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- одновременный прием антикоагулянтов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При наличии факторов риска перед назначением НПВП и через 1-3 месяца после начала лечения целесообразно проведение эндоскопического исследования (ФГДС). Вспомогательным методом служит исследование кала на скрытую кровь. У пожилых пациентов надо использовать наименее токсичные для желудка анальгетики, такие, как парацетамол, или применять НПВП в меньших дозах. Но при этом необходимо помнить, что парацетамол чаще, чем ибупрофен, вызывает смерть при передозировке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фатальной гепатотоксичности. Тяжелые гепатотоксические последствия парацетамол может вызывать и в терапевтических дозах у лиц, злоупотребляющих алкоголем, ВИЧ-инфицированных или больных вирусным гепатитом. Поэтому и безопасный для желудка парацетамол требует разумного назначения.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Назначение пациентам из группы риска селективных ингибиторов ЦОГ-2, таких как целекоксиб, более безопасно, чем применение других НПВП. Уменьшить явления диспепсии, возникающие при применении НПВП можно также с помощью анатцидов и блокаторов Н2-гистаминовых рецепторов. Но эти средства не предупреждают тяжелых осложнений со стороны ЖКТ. Имеются доказательства, что только ингибиторы протонной помпы, например, омепразол уменьшить риск развития  НПВП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индуцированных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гастропатий, но не энетеропатий. НПВП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индуцированные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энтеропатии значительно реже возникают при использовании целекоксиба. Ингибиторы протонной помпы целесообразно назначать и с профилактической целью пациентам с высоким риском НПВП-вызванной гастропатии или с осложнениями со стороны ЖКТ в анамнезе. Синтетический аналог PgE1 мизопростол, назначаемый профилактически на срок от 4 до 6 недель, не только уменьшает бессимптомные поражения ЖКТ, но способен на 40% снизить риск язвенных кровотечений. Однако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мизопростол иногда плохо переносится пациентами из-за появления диареи и абдоминальных болей. Его следует рекомендовать для профилактики только пациентам с высоким риском развития ЖКТ осложнений.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2010 году были опубликованы результаты рандомизированного контролируемого исследования CONDOR, которое объективно доказало преимущество целекоксиба над неселективными НПВП и позволило дать четкий ответ на вопрос, что безопаснее в плане развития ЖКТ-осложнений – селективные НПВП или «традиционные» препараты в комбинации с ингибиторами протонной помпы (ИПП)?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lastRenderedPageBreak/>
        <w:t xml:space="preserve"> В ходе этого исследования 4481 больной с ревматоидным артритом или остеоартрозом, с наличием факторов риска НПВП-гастропатии (язвенный анамнез или возраст старше 60 лет), но при этом не инфицированные H.pylori,  в течение 6-ти месяцев принимали целекоксиб 400 мг/сутки или диклофенак 150 мг/сутки + омепразол 20 мг. Согласно полученным данным, комбинация «традиционного» НПВП и ИПП отчетливо уступала по своей безопасности селективным НПВП. У пациентов, принимавших диклофенак  плюс омепразол, желудочно-кишечные осложнения наблюдались в четыре раза чаще,  чем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принимавших целекоксиб - 3.8% против 0.9%, соответственно.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Результаты исследования CONDOR показали, что применение  целекоксиба для терапии боли  и воспаления при ревматоидном артрите вызывает меньше  желудочно-кишечных осложнений (как гастропатий, так и энтеропатий), чем прием комбинации диклофенака с омепразолом.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Поражение почек может развиваться как при назначении неселективных НПВП, так и селективных ингибиторов ЦОГ-2. В этих случаях наблюдаются периферические отеки, повышение артериального давления или утяжеление уже имеющейся гипертензии путем угнетения экскреции натрия и воды почками вследствие снижения выработки ренального простациклина. Более редкая форма почечной патологии, анальгетическая нефропатия, развивается на фоне длительного (10-20 лет) приема НПВП. Она обусловлена прогрессирующим некрозом сосочков почек и проявляется нарушением концентрационной функции почечных канальцев, а в финальной стадии – ХПН. Для предупреждения серьезных осложнений при приеме НПВП необходимо регулярно, каждые 6-12 месяцев исследовать функции почек (общий анализ мочи, уровень электролитов, креатинина и мочевины в плазме).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последние годы активно обсуждается повышенный риск церебральной и коронарной тромбоэмболии при использовании не только селективных ингибиторов ЦОГ-2, но и всего класса НПВП.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Для уменьшения риска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осложнений сформулирована следующая стратегия применения НПВП (по Bennett JS. et al., 2005).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Назначать НПВП преимущественно лицам с низким риском тромбоэмболических осложнений (например, не имеющим в анамнезе ишемической болезни сердца или инсульта; имеющим низкий уровень факторов риска сосудистых заболеваний).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Вначале назначать препараты с наиболее низким риском тромбоэмболических осложнений (аспирин, ацетаминофен); если не удается адекватно подавить симптомы заболевания, перед тем, как перейти к терапии препаратами с более высоким риском тромбоэмболических осложнений, надо взвесить соотношение пользы и риска (относительная степень ЦОГ-2 селективности не может использоваться для оценки сравнительных рисков препаратов).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lastRenderedPageBreak/>
        <w:t xml:space="preserve"> Минимизировать курс лечения препаратами НПВП для уменьшения длительности рискованного периода.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Назначать препараты в минимальных эффективных дозах, необходимых для подавления симптомов патологии.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Если клиническая ситуация требует назначения НПВП пациентам с повышенным риском тромбоэмболических осложнений и/или на длительный период, добавлять в комбинацию аспирин до 100 мг/сут. Антитромбоцитарный эффект аспирина в низких дозах может быть полезен, но не обязательно полностью нейтрализует риск, вызванный другими НПВП. Если используется аспирин в комбинации с другими НПВП, необходимо помнить о назначении ингибиторов протонной помпы (омепразол, пантопразол и др.) для снижения риска желудочно-кишечных кровотечений. (По рекомендации Fosslien E. (2005), альтернативой комбинации НПВП и аспирина может служить назначение преимущественных, но не высокоселективных ингибиторов ЦОГ-2, например, нимесулида или мелоксикама.)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период лечения препаратами НПВП наблюдать за пациентом, отслеживая возможное повышение артериального давления, развитие отеков, ухудшение почечной функции или развитие желудочно-кишечного кровотечения.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Несмотря на известные и недавно выявленные побочные эффекты и риски, неселективные НПВП и селективные ЦОГ-2 ингибиторы остаются важными, а порой основными средствами лечения различных болевых синдромов. Оценивая безопасность НПВП, надо помнить, что такие факторы риска, как дистресс, артериальная гипертензия, дислипидемия, сахарный диабет, злоупотребление алкоголем, табакокурение и повышенный вес порой гораздо более опасны для здоровья, чем назначение НПВП.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Комбинированные препараты для лечения боли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Комбинированные препараты для лечения боли представляют собой  в основном сочетания неопиодного анальгетика, НПВП или алколоида спорыньи с кофеином, кодеином или фенобарбиталом (Нурофен, Цитрамон, Пенталгин, Солпадеин, Каффетин, Саридон, Седальгин, Панадол и др.)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Кофеин является наиболее частым компонентом комбинированных препаратов.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- первых, кофеин обладает самостоятельной анальгетической активностью. Механизм его анальгетического действия имеет центральный и афферентный компоненты. Центральный анальгетический эффект обусловлен активацией адренергических механизмов анальгезии, повышением настроения, индукцией положительного эмоционального состояния и уменьшением тягостного эмоционального компонента боли. Периферический собственный анальгетический и проаналгетический эффект реализуется за счет предупреждени высвобождения из мастоцитов факторов, стимулирующих нервные окончания и </w:t>
      </w:r>
      <w:r w:rsidRPr="00E168D1">
        <w:rPr>
          <w:rFonts w:ascii="Times New Roman" w:hAnsi="Times New Roman" w:cs="Times New Roman"/>
          <w:sz w:val="24"/>
          <w:szCs w:val="24"/>
        </w:rPr>
        <w:lastRenderedPageBreak/>
        <w:t>антагонистического проноцицептивного и провоспалительного эффекта аденозина. Кофеин потенцирует дейстивие анальгетиков и выступает в роли их адьюванта. Во-вторых, кофеин вызывает вазоконстрикцию, чрезмерно расширенных во время приступа церебральных сосудов.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Кодеин – опиоидный анальгетик с невысокой обезболивающей активностью, потенцирует действие ненаркотических анальгетиков, НПВП и обладает психостимулирующим действием.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Фенобарбитал относится к группе барбитуратов. Обладает анксиолитическим и миорелаксирущим действием.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Флупиртин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Флупиртин (Катадолон) относится к анальгетикам центрального действия и является прототипом нового класса веществ - селективных активаторов нейрональных калиевых каналов. Не относится к опиоидам, не вызывает зависимости и привыкания. Флупиртин оказывает анальгезирующее, миорелаксирующее и нейропротекторное действие, основанное на непрямом антагонизме по отношению NMDA (N-метил-D-аспартат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рецепторам, активации нисходящих механизмов модуляции боли и ГАМК-ергических процессов. Препарат показан для лечения острого и хронического болевого синдрома вследствие мышечного спазма и при злокачественных новообразованиях. К другим показаниям относятся: первичная альгодисменорея, головная боль напряжения, посттравматические боли, боли при травматологических/ортопедических операциях и вмешательствах.  В то время как имеется широкий клинический опыт применения флупиртина для лечения боли, доказательные данные по его эффективности получены в ходе небольших клинических исследований.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У взрослых препарат назначают по 100 мг (1 капсула) 3-4 раза в сутки с равным интервалом между приемами. При выраженном болевом синдроме назначают по 200 мг (2 капсулы) 3 раза/сут. Максимальная суточная доза - 600 мг (6 капсул).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Наиболее частые побочные эффекты отмечаются в ЦНС: слабость в начале лечения, депрессия, нарушения сна, беспокойство, нервозность, тремор, головная боль, головокружение. Кроме того, возможны аллергические реакции и побочные эффекты со стороны ЖКТ.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Учитывая, что флупиртин может ослаблять внимание и замедлять ответные реакции, рекомендуется во время лечения препаратом воздерживаться от вождения транспорта и занятий видами деятельности, требующими повышенной концентрации внимания и быстроты психомоторных реакций. В связи с тем, что флупиртин связывается с белками плазмы крови, следует принимать во внимание возможность лекарственных взаимодействий.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Миорелаксанты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Миорелаксанты широко применяются в качестве сре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я снятия болезненных спазмов мышц при органических неврологических заболеваниях и заболеваниях костно-мышечной системы. Кроме того, эти препараты обладают умеренными, не превосходящими НПВП, анальгетическими свойствами и исследованы в качестве обезболивающих средств в основном при острой боли. В последнее время стали появляться разрозненные данные об эффективности этих сре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я симптоматического лечения фибромиалгии. К миорелаксантам центрального действия относятся: тизанидин, баклофен, толперизона гидрохлорид, флупиртин, бензодиазепины. Ботулинический токсин типа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обладает локальным действием.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Баклофен (Баклосан) действует преимущественно на спинальном уровне, он связывается с пресинаптическими ГАМКв-рецепторами, приводя к уменьшению выделения глутамата и аспратата, что вызывает снижение мышечного тонуса и умеренное анальгезирующее действие. Начальная доза составляет 15 мг в сутки (в три приема), затем дозу увеличивают на 5 мг каждые 3 дня до получения желаемого эффекта, препарат принимают во время еды. Обычные дозы для лечения болезненного мышечного спазма 20-40 мг. Максимальная доза баклофена для взрослых составляет 60-75 мг в сутки (до 100 мг в условиях стационара). Побочные эффекты вследствие седативного и анксиолитического эффекта чаще проявляются сонливостью, головокружением, нарушением походки. Иногда возникают тошнота, запор, диарея, артериальная гипотония; требуется осторожность при лечении больных пожилого возраста.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Тизанидин (Сирдалуд, Тизалуд, Тизанил) — агонист α-2 адренергических рецепторов. Механизм действия связан со стимулированием пресинаптических альфа2-адренорецепторов, что приводит к угнетению полисинаптической передачи возбуждения в спинном мозге, осуществляющей регуляцию тонуса скелетной мускулатуры. Тизанидин обладает также умеренным центральным анальгезирующим действием. Согласно данным небольших открытых исследований, тизанидин может быть умеренно эффективен в качестве анальгетика у пациентов с миофасциальной болью жевательных мышц, головной болью напряжения, другими видами мышечно–скелетной боли.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При приеме внутрь максимальная концентрация тизанидина в крови достигается через 1-2 часа, прием пищи не влияет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фармакокинетику. Начальная доза препарата составляет 6 мг в сутки в три приема, средняя терапевтическая доза -12 мг в сутки, максимальная доза - 24 мг в сутки. Увеличение дозы производят постепенно, на 6 мг с интервалами 3-7 дней. В качестве побочных эффектов отмечаются сонливость, головокружение, незначительное снижение артериального давления. Препарат может влиять также на быстроту психомоторных реакций.  Во избежание синдрома "отмены" по окончании терапии дозу препарата снижают постепенно.    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Толперизон (Мидокалм) оказывает преимущественно центральное миорелаксирующее действие, кроме того, обладает умеренными центральными анальгезирующими и легкими сосудорасширяющими свойствами. Снижение мышечного тонуса при приеме препарата связывают с угнетающим влиянием на каудальную часть ретикулярной формации и подавлением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спинно-мозговой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рефлекторной активности.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Помимо данных об эффективности толперизона при гипертонусе мышц, спастических состояниях и мышечной дистонии, опубликованы открытые исследования, подтверждающие его обезболивающую эффективность  в качестве монотерапии или в комбинации при болях в спине, головной боли напряжения.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Прием толперизона начинают со 150 мг в сутки (в 3 приема), постепенно увеличивая дозу до получения эффекта, у взрослых обычно до 300-450 мг в сутки. Для быстрого эффекта препарат вводится внутримышечно по 1 мл (100 мг) 1-2 раза в сутки или внутривенно, медленно по 1 мл один раз в сутки.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Из побочных эффектов наиболее характерны: головная боль, снижение АД, тошнота, рвота, аллергические реакции. Препарат может оказывать влияние на быстроту психомоторных реакций.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Бензодиазепины обладают ГАМК-ергическим действием и облегчают ГАМК-ергическую передачу. Точка приложения их действия - прежде всего ретикулярная формация, бензодиазепины усиливают её тормозящее влияние на другие отделы ЦНС. Большое количество бензодиазепиновых рецепторов находится в лимбической системе (взаимодействием с ними связывают анксиолитический эффект препаратов), стволе и коре головного мозга (противосудорожное действие), спинном мозге (миорелаксирующее действие). Бензодиазепины могут быть использованы в терапии хронической боли, сопровождающейся тревогой в качестве анксиолитика и миорелаксанта. Ряд исследований продемонстрировал их эффективность в качестве монотерапии болевого синдрома. Общеизвестно, что главным ограничением для широкого применения этих препаратов, является риск возникновения привыкания.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Ботулинический токсин типа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исследовался у пациентов с болевой дисфункцией височно-нижнечелюстного сустава, хронической головной боли напряжения, с миофасциальными болевыми синдромами.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Используется локальное введение препарата в область болезненных мышечных уплотнений, вследствие чего блокируется выделение ацетилхолина в нервно-мышечном синапсе и происходит стойкая (до 3-6, иногда и до 12 месяцев) хемоденервация инъецированной мышцы.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Предполагается действие токсина и на терминали чувствительных волокон различной модальности. В частности, это может объяснить быстрый анальгетический эффект локальных внутримышечных инъекций ботулинического токсина типа А.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Местные анестетики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К местным анестетикам относят лекарственные средства, которые временно подавляют возбудимость рецепторов и блокируют проведение болевого импульса по нервным волокнам.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lastRenderedPageBreak/>
        <w:t xml:space="preserve"> Механизм действия местных анестетиков связан с блокадой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потенциал-зависимых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натриевых каналов клеточных мембран чувствительных нервных волокон. Местные анестетики в неионизированной форме проникают через клеточную мембрану внутрь аксона и там ионизируются. Ионизированные молекулы вещества взаимодействуют со специфическими местами связывания на натриевых каналах с внутренней стороны мембраны и, блокируя натриевые каналы, препятствуют входу Na+ в клетку и деполяризации мембраны. В результате нарушается генерация потенциала действия и распространение болевых импульсов по нервному волокну. Действие местных анестетиков обратимо, т.е. после инактивации действующего вещества функция чувствительных нервных окончаний и нервных волокон полностью восстанавливается.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зависимости от способа применения местного анестетика различают терминальную анестезию (анестетик наносят на поверхность, где он блокирует окончания чувствительных нервов), инфильтрационную (раствором анестетика последовательно «пропитывают» кожу и более глубокие ткани), проводниковую (анестетик вводят по ходу нерва, вследствие чего возникает блок проведения возбуждения по нервным волокнам), эпидуральную и субарахноидальную анестезию.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современной анестезиологии применяется целый ряд синтетических местных анестетиков. К ним относятся бензокаин, прокаин, тримекаин, тетракаин, бумекаин, лидокаин. В последнее время созданы длительнодействующие местные анестетики (бупивакаин и др.). Учитывая системное действие, данные препараты абсолютно противопоказаны при кардиогенном шоке, слабости синусового узла, блокадах сердца (AV, внутрижелудочковой, синусно-предсердной), тяжелых заболеваниях печени, миастении и ряде других состояний.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За рамками анестезиологической практики, в/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введение местных анестетиков широко распространено в виде лечебных блокад, хотя с позиций доказательной медицины эффективность данных способов лечения остается недостаточно очевидной. Наиболее частые области для блокад: паравертебральные и параартикулярные мышцы, связки, дугоотросчатые суставы, а также миотонически напряженные мышцы туловища и конечностей. Используются растворы новокаина (прокаина) (0,5-2 %), тримекаина (1-2%), лидокаина (1-2%). Возможно комбинирование местных анестетиков с глюкокортикоидами (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с 1-4 мг дексаметазона), с учетом побочных эффектов последних, а также витаминами: В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(тиамина хлорид - 1 мл 2,5% или 5% раствора, тиамина бромид - 1 мл 3% или 6% раствора), В6 (пиридоксин - 5% 1 мл), В12 (цианокобаламин - 1 мл 0,02% или 0,05% раствора).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Существует также целый ряд комбинаций с лидокаином (лидокаин+витамины группы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, лидокаин+толперизона гидрохлорид, лидокаин+дексаметазон) в виде готовых лекарственных форм для внутримышечного введения, показанных для лечения различных вертеброгенных, миогенных и суставных болевых синдромов.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У пациентов с небольшой зоной болезненности можно использовать кремы, пластыри и гели с 5% содержанием лидокаина (или в комбинации с прилокаином). Поскольку при местном применении практически отсутствует системное действие, следует иметь в виду, что уменьшение боли напрямую </w:t>
      </w:r>
      <w:r w:rsidRPr="00E168D1">
        <w:rPr>
          <w:rFonts w:ascii="Times New Roman" w:hAnsi="Times New Roman" w:cs="Times New Roman"/>
          <w:sz w:val="24"/>
          <w:szCs w:val="24"/>
        </w:rPr>
        <w:lastRenderedPageBreak/>
        <w:t>зависит от площади обезболивания и длительности контакта препарата с пораженной областью (максимальное время аппликации до 5 часов). Из побочных эффектов наиболее часты местные.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Пластырь с 5% лидокаином (Версатис) выпускается в виде трансдермальной терапевтической системы и зарегистрирован в России для лечения болевого синдрома при вертеброгенных поражениях, миозита и постгерпетической невралгии. Механизм его действия аналогичен таковому в форме геля или мази. Применение Версатиса показало высокую степень эффективности при минимальном риске развития системных побочных эффектов и лекарственных взаимодействий. В месте наклеивания пластыря могут  наблюдаться характерные нежелательные явления в виде аллергических реакций, покраснения и жжения.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ряде плацебо-контролируемых клинических исследований показана эффективность местного применения 5% лидокаина при болевой диабетической полиневропатии и постгерпетической невралгии. В случаях неэффективности монотерапии, более действенной, чем каждый из препаратов в отдельности при этих состояниях, была комбинация 5% лидокаина и прегабалина.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Мексилетин – антиаритмический препарат, пероральный аналог лидокаина, также относящийся к местным анестетикам, но имеющий системный эффект. Считается, что мексилетин блокирует натриевые каналы, стабилизируя мембрану нейронов и блокируя передачу болевых импульсов. Клинические исследования мексилетина при невропатической боли дают противоречивые результаты. Мексилетин в ряде исследований показал значительный обезболивающий эффект, особенно при его применении в высоких дозах. В то же время частота возникновения нежелательных явлений, особенно со стороны ЖКТ, была неоправданно высока. Препарат следует применять с осторожностью при наличии в анамнезе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патологии или при выявлении изменений на электрокардиограмме.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Капсаицин – местный анестетик, который получают из стручков красного жгучего перца или перца чили. Капсаицин действует на ваниллоидные рецепторы, уменьшая выброс субстанции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из окончаний чувствительных нервов. В России зарегистрированы безрецептурные комбинированные препараты в виде мазей и бальзамов, содержащих капсаицин в концентрации до 0,075% (Артро-Актив, Никофлекс, Финалгон, Эспол). Рекомендуется применение 2-3 раза в день путем нанесения на болезненную область при различных суставно-мышечных болевых синдромах. Следует иметь в виду, что часто боль усиливается при первом нанесении капсаицина. Жжение, покраснение и зуд в месте нанесения являются наиболее частыми побочными эффектами препарата. Согласно данным систематических обзоров высокодоказательных клинических исследований капсаицин в виде безрецептурных кремов и мазей показал лишь очень умеренную анальгетическую эффективность.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ряде последних исследований, применение больших доз капсаицина (в форме 8% пластыря), наносимых в виде 30-60 минутных аппликаций (каждые 90 дней), было эффективно для лечения постгерпетической невралгии и периферической невропатической боли. Препарат зарегистрирован по этим показаниям в Европе и США. Однако в силу отсутствия регистрации в России рекомендовать данный препарат к применению пока рано.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lastRenderedPageBreak/>
        <w:t>Антиконвульсанты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Первая публикация о применении антиконвульсантов для лечения боли появилась в 1942 году, а в начале 90-х годов прошлого столетия вышла на рынок новая генерация противоэпилептических препаратов, и теперь, антиконвульсанты обычно делят на две группы: препараты первого и препараты второго поколения.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Применение противосудорожных препаратов первого поколения (фенитоин, этосуксимид, фенобарбитал, примидон, вальпроевая кислота, карбамазепин, диазепам, лоразепам, клоназепам) за исключением карбамазепина, практически не рассматривается в качестве первой линии терапии боли в связи с низким уровнем доказательности клинической эффективности, а также из-за связанных с их применением побочных эффектов. В основном это эффекты со стороны ЦНС, а также гематологические нарушения, гепатотоксичность, симптомы со стороны ЖКТ и кожные высыпания.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Антиконвульсанты второго поколения имеют более благоприятные фармакокинетические характеристики и профили безопасности, а также низкий риск лекарственных взаимодействий по сравнению с антиконвульсантами первого поколения.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Антиконвульсанты  второго поколения составляют довольно обширную группу, к ним относятся:  прегабалин, габапентин, ламотриджин, окскарбазепин,  топирамат, леветирацетам, тиагабин, зонисамид, вигабатрин, фелбамат, лакосамид и другие.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На сегодняшний день в России зарегистрировано огромное количество антиконвульсантов (191 торговое наименование разных форм выпуска), в тоже время официальные показания для лечения боли (это или невропатическая боль или состояния ей сопровождающиеся) есть только у ограниченного числа препаратов. Из препаратов первого поколения имеющих официальные показания для лечения боли в России - фенитоин, который зарегистрирован для лечения тригеминальной невралгии, и карбамазепин (Тегретол, Финлепсин, Актинервал, Зептол и др.), показанный  для лечения тригеминальной невралгии, языкоглоточной невралгии и болевой диабетической полиневропатии. Прегабалин (Лирика) и его предшественник габапентин (Нейронтин, Тебантин, Конвалис, Габагамма и др.) – единственные препараты второго поколения, зарегистрированные для лечения всех видов невропатической боли у взрослых. Прегабалин, кроме того,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показан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для лечения фибромиалгии - заболевания, облигатным признаком которого является боль.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Антиконвульсанты имеют разнообразные механизмы действия, у некоторых препаратов они перекрываются. Антиболевой эффект таких препаратов как карбамазепин, фенитоин, окскарбазепин, ламотриджин, вальпроаты, топирамат принято объяснять уменьшением высокочастотной повторяющейся импульсации нейронов посредством блокирования потенциалзависимых натриевых и кальциевых каналов в периферических нервах. Ряд препаратов (например, фенобарбитал, тиагабин, топирамат, вигабатрин и вальпроаты) усиливает нервную передачу подавляющих боль импульсов, </w:t>
      </w:r>
      <w:r w:rsidRPr="00E168D1">
        <w:rPr>
          <w:rFonts w:ascii="Times New Roman" w:hAnsi="Times New Roman" w:cs="Times New Roman"/>
          <w:sz w:val="24"/>
          <w:szCs w:val="24"/>
        </w:rPr>
        <w:lastRenderedPageBreak/>
        <w:t>либо непосредственно блокирует нервную передачу возбуждающих импульсов. Прегабалин и габапентин имеют принципиально новый механизм действия (см. далее эту главу), что и определило их лидирующие позиции на рынке препаратов для лечения невропатической боли.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Фенитоин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Фенитоин (Дифенин) – один из самых первых противоэпилептических препаратов. Кроме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противосудорожного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и анальгетического, оказывает мембраностабилизирующее, антиаритмическое и гипотензивное действие. Биодоступность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невысока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и составляет 20-50%. Метаболизируется в печени, является индуктором изоферментов СУР3А4, СУР3А5. В качестве обезболивающего средства препарат показан для лечения только тригеминальной невралгии. Назначают по 100-300 мг 1-3 раза в день. Из побочных эффектов наиболее характерны атаксия, нистагм, головокружение, тремор, мышечная слабость, тошнота, рвота, токсический гепатит и другие. Очень редко возможно развитие синдрома Стивенса-Джонсона и острого эпидермального некролиза. Препарат следует назначать с осторожностью у больных с алгоголизмом, сахарным диабетом, хронической сердечной и печеночной недостаточностью. Кроме того, для препарата характерен высокий риск лекарственных взаимодействий.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Карбамазепин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Карбамазепин (Тегретол, Финлепсин, Актинервал, Зептол и др.) относится к противосудорожным препаратам первого поколения и по химическому строению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близок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к трициклическим антидепрессантам. Карбамазепин имеет широкий спектр показаний, помимо других заболеваний включающий состояния, сопровождающиеся невропатической болью: невралгию тройничного нерва, языкоглоточную невралгию и болевую диабетическую полиневропатию. Большинство хорошо спланированных исследований проведено у пациентов с тригеминальной невралгией и лицевой болью, где препарат доказал свою эффективность. Данные по его эффективности при других типах невропатической боли ограничены (небольшое количество проведенных испытаний и участвовавших пациентов). В связи с этим в Европейских рекомендациях по лечению невропатической боли карбамазепин рекомендован как препарат первой линии терапии только для тригеминальной невралгии.  Карбамазепин обычно принимают независимо от приема пищи, с небольшим количеством жидкости.  У взрослых лечение рекомендуют начинать с дозы 100 - 200 мг один или два раза в день, постепенно повышают её не более чем на 200 мг в сутки, до купирования боли (в среднем это 800-1200 мг/день), а затем снижают её до минимально эффективной дозы. В некоторых случаях может потребоваться доза 1600 мг в день, что предполагает тщательную титрацию и наблюдение за пациентом. Карбамазепин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противопоказан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при атриовентрикулярной блокаде, нарушении кроветворения, при острой перемежающейся порфирии, в т.ч. в анамнезе, а также одновременно с ингибиторами моноаминоксидазы.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При постмаркетинговом применении карбамазепина зарегистрирован ряд серьезных побочных эффектов, таких как: синдром Стивенса-Джонсона (в мире зарегистрировано 544 случая на 1999 год), острый эпидермальный некролиз, агранулоцитоз, апластическая анемия, гепатит, нарушение </w:t>
      </w:r>
      <w:r w:rsidRPr="00E168D1">
        <w:rPr>
          <w:rFonts w:ascii="Times New Roman" w:hAnsi="Times New Roman" w:cs="Times New Roman"/>
          <w:sz w:val="24"/>
          <w:szCs w:val="24"/>
        </w:rPr>
        <w:lastRenderedPageBreak/>
        <w:t xml:space="preserve">почечной функции, эндокринные нарушения.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К наиболее частым побочным эффектам (10% и больше) карбамазепина относятся: головокружение, атаксия, сонливость, крапивница, мультиорганные реакции гиперчувствительности, васкулиты, лейкопения, тошнота, рвота, отеки, повышение массы тела.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У препарата отмечен высокий риск лекарственных взаимодействий, с осторожностью следует назначать карбамазепин у пожилых больных.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Карбамазепин следует применять только при условии регулярного врачебного контроля. Перед началом лечения рекомендуется обследование, включающее: анализ мочи, развернутый анализ крови, включая уровень мочевины. Эти показатели  следует контролировать сначала еженедельно, а затем ежемесячно. В процессе лечения необходимо также контролировать функцию печени, проводить развернутый анализ крови, измерять концентрацию электролитов в сыворотке. 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Окскарбазепин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Окскарбазепин (Трилептал) имеет структурное сходство с карбамазепином. Считается, что эффективность этих препаратов сопоставима при эпилепсии, но окскарбазепин лучше переносится, чем карбамазепин. Например, у препарата не зарегистрировано ни одного случая синдрома Стивенса-Джонсона. Для окскарбазепина было проведено несколько клинических исследований  при тригеминальной невралгии с положительным эффектом. Рекомендуемый режим дозирования 900-1800 мг/сутки. В Европейских рекомендациях по лечению невропатической боли окскарбазепин рекомендован как препарат первой линии терапии для тригеминальной невралгии. В тоже время в России окскарбазепин по этому показанию не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Габапентин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Габапентин  - первый в мире препарат, который был зарегистрирован для лечения всех видов невропатической боли. Помимо оригинального препарата Нейронтин в России зарегистрирован ряд дженериков: Гапентек, Тебантин, Габагамма, Конвалис и др.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9 крупных, рандомизированных, плацебо-контролируемых исследованиях, показана эффективность габапентина при постгерпетической невралгии  и диабетической полиневропатии.  По одному плацебо-контролируемому исследованию было проведено при фантомной боли, синдроме Гийена-Барре, невропатической боли различной этиологии, невропатии, вызванной онкологическим заболеванием, травме спинного мозга. По результатам клинических исследований препарат показал свое превосходство над плацебо в купировании боли при хорошей переносимости.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Механизм действия габапентина основан на способности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связываться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с добавочной субъединицей альфа-2-дельта (a2d) потенциалзависимых Ca2+ каналов, которая расположена на внеклеточной стороне канала. Сильное связывание в этом месте уменьшает приток кальция к нервным окончаниям </w:t>
      </w:r>
      <w:r w:rsidRPr="00E168D1">
        <w:rPr>
          <w:rFonts w:ascii="Times New Roman" w:hAnsi="Times New Roman" w:cs="Times New Roman"/>
          <w:sz w:val="24"/>
          <w:szCs w:val="24"/>
        </w:rPr>
        <w:lastRenderedPageBreak/>
        <w:t>и, следовательно, тормозит высвобождение ряда нейротрансмиттеров, включая глутамат и субстанцию Р. В отсутствие нейротрансмиттеров в синаптической щели распространение импульса на следующий нейрон блокируется.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Габапентин  можно принимать независимо от приема пищи. Нет необходимости в измерении сывороточных концентраций для оптимизации лечения. Препарат следует титровать, начиная с приема 300 мг сут., и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затем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увеличивая дозу на 300 мг в день до целевой суточной дозы, равной 1800-3600 мг (период титрации до максимальной дозы занимает обычно 12 дней). Время между  приемами доз не должно превышать  8 часов. Пациентам пожилого возраста может потребоваться коррекция дозы, так как у них часто бывает нарушена функция почек. К наиболее частым побочным эффектам относятся головокружение, сонливость и атаксия. Чтобы избежать синдрома падений,  врачу необходимо предупреждать пациентов, особенно пожилых, о возможности возникновения этих побочных эффектов. Другие характерные побочные эффекты - это нистагм, реже наблюдаются понос, головная боль, тошнота, периферические отеки и астения.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Прегабалин (Лирика)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Прегабалин 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близок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по механизму действия к препарату габапентин. Прегабалин и габапентин относятся к одному классу средств, имеющих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высокую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аффинность к альфа-2-дельта протеину в центральной нервной системе. Прегабалин представляет собой дериват ГАМК и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по сути её аналогом. В исследованиях, на фоне приема препарата было продемонстрировано уменьшение высвобождения ряда нейротрансмиттеров (включая глутамат, норадреналин и субстанцию Р) в гипервозбужденных нейронах. Считается, что это вызвано модуляцией функции альфа-2-дельта субъединицы потенциалзависимых кальциевых каналов. Прегабалин уменьшает выделение нейротрансмиттеров, замедляет, таким образом, передачу нервного импульса на следующий нейрон, что в результате приводит к редукции болевого синдрома. Важно отметить, что прегабалин оказывает эффект только в условиях и в результате гипервозбуждения нейронов при патологических состояниях, что проявляется в модуляции, приводящей к переходу в нормальное состояние.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Несмотря на наличие большого сходства между прегабалином и габапентином, фармакокинетический профиль прегабалина характеризуется важными преимуществами по сравнению с профилем габапентина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отличие от габапентина, прегабалин имеет линейную фармакокинетику, что обеспечивает предсказуемость изменений концентрации препарата в плазме крови при увеличении или уменьшении дозы. Прегабалин быстрее всасывается в кровь и обладает более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высокой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биодоступностью (90%) по сравнению с габапентином (33-66%). Вследствие этого препарат эффективен в меньших дозах, а вероятность развития побочных эффектов ниже.  В результате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мета-анализа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всех рандомизированных клинических исследований обоих препаратов, прегабалин показал эффективность аналогичную габапентину в отношении уменьшения интенсивности боли, но при существенно более низких дозировках. Было продемонстрировано, что максимальная доза габапентина - 3600 мг по эффективности равна средне-терапевтической дозе прегабалина - 450 мг (для прегабалина максимальная доза составляет 600 мг). Кроме того, для прегабалина характерно короткое время достижения максимальной концентрации при длительном периоде всасывания, это обстоятельство позволяет использовать 2-х разовый прием препарата, в </w:t>
      </w:r>
      <w:r w:rsidRPr="00E168D1">
        <w:rPr>
          <w:rFonts w:ascii="Times New Roman" w:hAnsi="Times New Roman" w:cs="Times New Roman"/>
          <w:sz w:val="24"/>
          <w:szCs w:val="24"/>
        </w:rPr>
        <w:lastRenderedPageBreak/>
        <w:t>отличие от габапентина, где требуется 3-х разовое применение. Время достижения стабильной концентрации у прегабалина короче, то есть требуется меньший период титрования и быстрее достигается терапевтическая концентрация и соответственно клинический эффект.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клинических исследованиях прегабалин показал высокую эффективность, как в отношении невропатической боли, так и фибромиалгии. Всего в исследованиях приняло участие более чем 10 000 больных. Основные исследования эффективности прегабалина были проведены при постгерпетической  невралгии и болевой диабетической невропатии, поскольку эти заболевания приняты FDA (Food and Drug Administration, USA) за стандартные модели невропатической боли. Все исследования, 4 при ПГН, 5 при ДПН и одно ПГН+ДПН, были рандомизированными, двойными слепыми, плацебо-контролируемыми, длительностью до 13 недель. Дозировка прегабалина была гибкой или фиксированной от 75 до 600 мг/день. Во всех без исключения исследованиях, во всех дозах прегабалин  показал свою высокую эффективность по сравнению с плацебо, значительно, до 60 и более % уменьшая не только интенсивность боли, но и параллельно восстанавливая нарушенный сон и качество жизни. Согласно результатам проведенного несколько позже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мета-анализа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, эффект препарата отмечался уже к концу 2-ого или началу 3-его дня терапии, продолжаясь до конца исследований, а количество респондеров с 50% и более снижением интенсивности боли составило порядка 65% пациентов. Часть из описанных выше исследований имела продолжение в открытой фазе, средняя длительность приема прегабалина составила 15 месяцев, а максимальная – 3,5 года. Эти данные позволяют говорить о прегабалине как об эффективном и безопасном средстве для длительной терапии невропатической боли.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Описан обширный опыт постмаркетингового применения прегабалина. В Германии было проведено исследование с участием 10 300 пациентов с различными нозологиями, такими как: диабетическая полиневропатия, боль в спине с невропатическим компонентом, постгерпетическая и тригеминальная невралгия, алкогольная полиневропатия, другими различными полиневропатиями и невропатической болью вследствие опухоли. Достоверное снижение интенсивности боли отмечалось уже на 1-ой неделе терапии. К 6-ой неделе лечения прегабалином, интенсивность боли снизилась в среднем на 62%, при этом у пациентов улучшались сон и настроение.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Имеется опыт применения препарата у пациентов с тяжелой, не купирующейся другими средствами, болью. В ещё одном открытом постмаркетинговом исследовании у пациентов с болью, рефрактерной к терапии габапентином, ТЦА или другими препаратами, применение прегабалина достоверно уменьшало интенсивность боли по шкале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и выраженность тревоги и нарушений сна.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Препарат исследован также и при центральной невропатической боли у пациентов перенесших травму спинного мозга в ходе 12-недельного рандомизированного плацебо-контролируемого исследования. На фоне терапии прегабалином интенсивность боли у этой группы пациентов уменьшалась, начиная с первой недели терапии, а эффект сохранялся до конца курса лечения. Параллельно с обезболиванием, применение препарата вызывало стойкое улучшение сна. Еще в одном исследовании прегабалин был эффективнее плацебо у пациентов с центральной постинсультной болью.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Прегабалин эффективен также при фибромиалгии. Проводилось 5 исследований длительностью от 8 до 32 недель, в которых приняло участие более 2000 пациентов.  Мета-анализ этих исследований показал, что прегабалин в дозах 300, 450 и 600 мг вызывает умеренное снижение интенсивности боли, улучшает сон и повышает качество жизни, но не влияет на тяжесть депрессивного синдрома. Кроме того, у пациентов с фибромиалгией, получавших прегабалин, отмечалось снижение утомляемости и тревожности.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Прегабалин хорошо переносится. Наиболее частыми побочными эффектами являются головокружение и сонливость. Как показывают данные клинических исследований, головокружение и сонливость на фоне приема прегабалина имеют транзиторный характер, возникая через 1-2 дня приема и прекращаясь на 2-4 неделе терапии.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К другим побочным эффектам относятся: атаксия, дизартрия, нарушение внимания, эйфория, раздражительность, диплопия, сухость во рту, утомляемость, отеки, транзиторное повышение веса.</w:t>
      </w:r>
      <w:proofErr w:type="gramEnd"/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Прегабалин не метаболизируется в печени и не связывается с белками плазмы, поэтому риск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взаимодействует с другими лекарствами минимален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Диапазон суточных терапевтических доз прегабалина – 300-600 мг, разделенных на 2 приема. Препарат можно принимать независимо от приема пищи. В России существуют следующие дозировки: капсулы 75 мг, 150 мг и 300 мг. При лечении невропатической боли рекомендуемая стартовая доза составляет 150 мг/сут. В зависимости от эффекта и переносимости дозу можно увеличить до 300 мг/сут через 3-7 дней.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При необходимости можно увеличить дозу до максимальной (600 мг/сут) ещё через 7 дней.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У пациентов с нарушением функции почек лечение рекомендуется начинать и проводить в меньших дозах. Согласно опыту, полученному в клинических исследованиях, в случае прекращения приема препарата, дозу рекомендуется снижать постепенно, в течение недели.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Антидепрессанты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Терапия боли антидепрессантами предусматривает, как правило, использование препаратов из 3-х групп. Это трициклические антидепрессанты (ТЦА), селективные ингибиторы обратного захвата серотонина и норадреналина (СИОЗСН) и  селективные ингибиторы обратного захвата серотонина (СИОЗС).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Среди антидепрессантов, применяемых для лечения боли, наибольшими доказательствами эффективности обладают именно ТЦА.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Из  группы СИОЗСН в лечении боли могут рассматриваться венлафаксин и дулоксетин. Доказательные данные по применению венлафаксина при боли представлены в ограниченном </w:t>
      </w:r>
      <w:r w:rsidRPr="00E168D1">
        <w:rPr>
          <w:rFonts w:ascii="Times New Roman" w:hAnsi="Times New Roman" w:cs="Times New Roman"/>
          <w:sz w:val="24"/>
          <w:szCs w:val="24"/>
        </w:rPr>
        <w:lastRenderedPageBreak/>
        <w:t>количестве, официальная регистрация препарата для лечения болевых синдромов в России отсутствует, в этой связи обсуждение данного препарата представляется нецелесообразным.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СИОЗС (флуоксетин, пароксетин, сертралин, циталопрам) имеют ряд преимуществ по сравнению с ТЦА в терапии депрессивных расстройств, в том числе благоприятный профиль переносимости, простоту дозирования и минимальный риск развития лекарственных взаимодействий. Однако, контролируемые исследования, проведенные у пациентов с болью, если и демонстрируют их эффективность, то лишь ограниченную.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Трициклические антидепрессанты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Трициклические антидепрессанты (амитриптилин, кломипрамин, имипрамин) стали одними из первых препаратов, не относящихся к обезболивающим средствам, которые продемонстрировали свою эффективность в лечении пациентов  с болевыми синдромами.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Как известно, трициклические антидепрессанты угнетают обратный захват норадреналина и серотонина в пресинаптических нейронах, повышая уровень этих трансмиттеров в синапсе, и, тем самым, вызывая антидепрессивный эффект. Обезболивающие же эффекты ТЦА не зависят от их антидепрессивного действия и обычно достигаются при использовании более низких доз. Механизм обезболивающего действия этих препаратов до конца не ясен, но считается, что ингибирование ими обратного захвата серотонина и норадреналина активизирует нисходящий путь торможения боли. Показано также, что ТЦА незначительно блокируют натриевые каналы в периферических нервах и обладают антагонизмом к NMDA-рецепторам.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России официально зарегистрированными показаниями для применения амитриптилина, кломипрамина и имипрамина, помимо депрессивных расстройств являются: хронический болевой синдром (хронические боли у онкологических больных, мигрень, ревматические боли, атипичные боли в области лица, постгерпетическая невралгия, посттравматическая невропатия, диабетическая невропатия и др. периферическая невропатия), профилактика мигрени, головная боль.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Эффективность ТЦА при таких состояниях как, болевая диабетическая и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не-диабетическая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полиневропатия, постгерпетическая невралгия, центральная постинсультная боль и постмастэктомическая боль была показана в ряде плацебо-контролируемых исследований, включавших, к сожалению, ограниченное количество пациентов (до 60), но с достаточным уровнем достоверности. Кроме того, проведен ряд доказательных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мета-анализов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, показавших эффективность ТЦА для терапии уже упоминавшихся состояний, а также для профилактики мигрени и лечения головной боли напряжения, фибромиалгии и хронической боли в нижней части спины.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Стандартно рекомендуется начинать применение этих препаратов с низких доз (например, 10 или 25 мг амитриптилина в день) и, постепенно, в течение одной или даже нескольких недель титровать на повышение до 100 мг. У части пациентов с недостаточным терапевтическим эффектом может возникнуть необходимость проводить мониторинг препарата  в сыворотке крови для дальнейшего подбора и увеличения дозы (до 200 или даже более мг в день).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Помимо блокирования обратного захвата норадреналина и серотонина, трициклические антидепрессанты в разной степени блокируют другие постсинаптические рецепторы, включая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м-холинергические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, а1-адренергические и гистаминовые рецепторы, что обусловливает целый ряд противопоказаний и побочных эффектов, ограничивающих их применение (Таблица 5).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5805BF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Таблица 5. Наиболее частые побочные эффекты трициклических антидепрессантов</w:t>
      </w:r>
      <w:r w:rsidR="000F5B6C">
        <w:rPr>
          <w:rFonts w:ascii="Times New Roman" w:hAnsi="Times New Roman" w:cs="Times New Roman"/>
          <w:sz w:val="24"/>
          <w:szCs w:val="24"/>
        </w:rPr>
        <w:t>.</w:t>
      </w:r>
      <w:r w:rsidRPr="00E168D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168D1" w:rsidTr="00E168D1">
        <w:tc>
          <w:tcPr>
            <w:tcW w:w="5341" w:type="dxa"/>
          </w:tcPr>
          <w:p w:rsidR="00E168D1" w:rsidRDefault="000F5B6C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>Тип блокируемого рецептора</w:t>
            </w:r>
          </w:p>
        </w:tc>
        <w:tc>
          <w:tcPr>
            <w:tcW w:w="5341" w:type="dxa"/>
          </w:tcPr>
          <w:p w:rsidR="00E168D1" w:rsidRDefault="000F5B6C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>Побочные эффекты</w:t>
            </w:r>
          </w:p>
        </w:tc>
      </w:tr>
      <w:tr w:rsidR="00E168D1" w:rsidTr="00E168D1">
        <w:tc>
          <w:tcPr>
            <w:tcW w:w="5341" w:type="dxa"/>
          </w:tcPr>
          <w:p w:rsidR="00E168D1" w:rsidRDefault="000F5B6C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>Мускариновые (антихолинергические эффекты)</w:t>
            </w:r>
          </w:p>
        </w:tc>
        <w:tc>
          <w:tcPr>
            <w:tcW w:w="5341" w:type="dxa"/>
          </w:tcPr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>·    нарушение зрения</w:t>
            </w:r>
          </w:p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 xml:space="preserve"> ·    сухость во рту</w:t>
            </w:r>
          </w:p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 xml:space="preserve"> ·    синусовая тахикардия </w:t>
            </w:r>
          </w:p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 xml:space="preserve"> ·    запор </w:t>
            </w:r>
          </w:p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 xml:space="preserve"> ·    задержка мочи </w:t>
            </w:r>
          </w:p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D1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 xml:space="preserve"> ·    спутанность сознания и/или нарушение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</w:tr>
      <w:tr w:rsidR="00E168D1" w:rsidTr="00E168D1">
        <w:tc>
          <w:tcPr>
            <w:tcW w:w="5341" w:type="dxa"/>
          </w:tcPr>
          <w:p w:rsidR="00E168D1" w:rsidRDefault="000F5B6C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>Гистаминовые H1 рецепторы</w:t>
            </w:r>
          </w:p>
        </w:tc>
        <w:tc>
          <w:tcPr>
            <w:tcW w:w="5341" w:type="dxa"/>
          </w:tcPr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 xml:space="preserve">·    усиление эффектов препаратов, подавляющих ЦНС </w:t>
            </w:r>
          </w:p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 xml:space="preserve"> ·    седативный эффект, сонливость </w:t>
            </w:r>
          </w:p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D1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 xml:space="preserve"> ·    увеличение веса</w:t>
            </w:r>
          </w:p>
        </w:tc>
      </w:tr>
      <w:tr w:rsidR="00E168D1" w:rsidTr="00E168D1">
        <w:tc>
          <w:tcPr>
            <w:tcW w:w="5341" w:type="dxa"/>
          </w:tcPr>
          <w:p w:rsidR="00E168D1" w:rsidRDefault="000F5B6C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>a1-адренергические рецепторы</w:t>
            </w:r>
          </w:p>
        </w:tc>
        <w:tc>
          <w:tcPr>
            <w:tcW w:w="5341" w:type="dxa"/>
          </w:tcPr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>·    ортостатическая гипотензия, головокружение</w:t>
            </w:r>
          </w:p>
          <w:p w:rsidR="000F5B6C" w:rsidRPr="000F5B6C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D1" w:rsidRDefault="000F5B6C" w:rsidP="000F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6C">
              <w:rPr>
                <w:rFonts w:ascii="Times New Roman" w:hAnsi="Times New Roman" w:cs="Times New Roman"/>
                <w:sz w:val="24"/>
                <w:szCs w:val="24"/>
              </w:rPr>
              <w:t xml:space="preserve"> ·    рефлекторная тахикардия</w:t>
            </w:r>
          </w:p>
        </w:tc>
      </w:tr>
    </w:tbl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ТЦА противопоказаны у больных с острым и подострым инфарктом миокарда,  с нарушением внутрижелудочковой проводимости,  с закрытоугольной глаукомой, и одновременно принимающих ингибиторы МАО. Эти препараты следует применять с осторожностью у пациентов с ИБС, аритмией, артериальной гипертонией, после инсульта, а также с задержкой мочи или вегетативной недостаточностью. Кроме того,  рекомендуется регулярно проводить ЭКГ-исследование, особенно у больных в возрасте старше 40 лет. У пациентов пожилого возраста ТЦА могут вызывать нарушение равновесия, повышая риск падений, и когнитивные расстройства, поэтому применение ТЦА у пациентов этой возрастной группы должно быть ограничено. Так как ТЦА метаболизируются при участии ферментов системы цитохрома Р-450, они могут вступать во взаимодействие с другими препаратами, которые также  метаболизируются этими ферментами, повышая тем самым риск развития побочных эффектов.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Дулоксетин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Дулоксетин (Симбалта)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в России для лечения депрессии и болевой диабетической полиневропатии. Механизм его действия сходен с таковым для ТЦА и связан с центральным подавлением обратного захвата серотонина и норадреналина. При этом отмечено минимальное </w:t>
      </w:r>
      <w:r w:rsidRPr="00E168D1">
        <w:rPr>
          <w:rFonts w:ascii="Times New Roman" w:hAnsi="Times New Roman" w:cs="Times New Roman"/>
          <w:sz w:val="24"/>
          <w:szCs w:val="24"/>
        </w:rPr>
        <w:lastRenderedPageBreak/>
        <w:t>влияние препарата на мускариновые, холинергические, а1-адренергические и гистаминовые рецепторы. Всасывание дулоксетина в кровь происходит относительно медленно; максимальная концентрация в плазме (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макс) достигается примерно через 6 часов после приема дозы препарата. Прием одновременно с пищей или вечером замедляет всасывание дулоксетина.  Дулоксетин активно связывается с белками (&gt;90 %) и быстро метаболизируется под действием цитохрома P450 2D6 и 1A2. Период полувыведения дулоксетина равен примерно 12 часам.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Препарат зарегистрирован FDA в качестве средства для  лечения болевой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диабетической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полиневропатии на основании результатов трех крупных рандомизированных, двойных слепых, плацебо-контролируемых 12-недельных исследований с участием 1139 больных. В этих исследованиях препарат показал свою эффективность в уменьшении боли по сравнению с плацебо, отмеченную после первой недели терапии и сохранявшуюся до конца курса лечения, при этом дулоксетин хорошо переносился. Наиболее частые нежелательные реакции были связаны с желудочно-кишечным трактом и нервной системой. Они включали в себя тошноту, запоры, уменьшение аппетита, сонливость, головную боль, головокружение, бессонницу, усталость и сухость во рту. Отмена препарата из-за нежелательных реакций составила 4 % у пациентов, получавших дулоксетин в дозе 60 мг/день, и 12-19 % у пациентов, получавших дулоксетин в дозе 120 мг/день.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Дулоксетин рекомендуется назначать один раз в день в дозе 60 мг вне зависимости от приема пищи. Максимальная  суточная доза 120 мг.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Дулоксетин способен дозозависимо повышать артериальное давление, в связи с чем, требуется его контроль в процессе лечения.  Известно также, что сахарный диабет часто осложняется заболеванием почек, при лечении таких пациентов требуется более низкая стартовая доза и медленное  её титрование. Кроме того, дулоксетин может вступать во взаимодействие с препаратами, которые также метаболизируются изоферментом Р450.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последнее время опубликованы результаты ряда многоцентровых плацебо-контролируемых исследований, где дулоксетин показал умеренную анальгетическую эффективность при таких состояниях, как хроническая боль в нижней части спины,  боль при остеоартрозе коленных суставов и фибромиалгия. Однако, за отсутствием официальных показаний, рекомендовать препарат к применению в этих случаях пока преждевременно.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Опиоидные анальгетики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Опиоиды представляют собой класс препаратов, которые давно применяются для лечения умеренной или сильной боли. Механизм их обезболивающего действия обусловлен связыванием с опиоидными рецепторами. Несмотря на то, что, как правило, эти препараты взаимодействуют с несколькими типами рецепторов, их подразделяют на агонисты (кодеин, морфин, фентанил), частичные агонисты (бупренорфин), агонисты-антагонисты (буторфанол, налбуфин) и антагонисты (налоксон). Эти препараты могут быть короткого или длительного действия (МСТ-континус); они выпускаются в виде разных лекарственных форм, включая препараты для перорального (быстрого или пролонгированного действия) и внутривенного применения, а также в виде свечей </w:t>
      </w:r>
      <w:r w:rsidRPr="00E168D1">
        <w:rPr>
          <w:rFonts w:ascii="Times New Roman" w:hAnsi="Times New Roman" w:cs="Times New Roman"/>
          <w:sz w:val="24"/>
          <w:szCs w:val="24"/>
        </w:rPr>
        <w:lastRenderedPageBreak/>
        <w:t>сублингвальных и трансдермальных форм (транстек, дюрогезик).  Основные принципы использования наркотических анальгетиков описаны в специальной литературе.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2006 году был проведен мета-анализ исследований опиоидов при хронической неонкологической боли. Проанализировали 41 исследование  с участием 6019 пациентов,  из них 80% имели ноцицептивную боль (остеоартроз, ревматоидный артрит, боль в спине), 12% невропатическую, 1% смешанную, а 7% фибромиалгию.  Средняя длительность лечения была 5 (1-16) недель, а эффективность терапии была умеренной. Согласно данным анализа, снижение интенсивности боли составило меньше 1 балла по визуально-аналоговой шкале. Одновременно с этим, был достаточно высокий процент отказа от продолжения лечения из-за нежелательных явлений. Более позднее исследование, опубликованное в 2008 году и проанализировавшее 34 испытания с участием 3608 пациентов с неонкологической болью,  показало, что в целом лекарственные средства этой группы эффективны, но не было найдено различий по эффективности среди препаратов внутри группы.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Хорошо известно, что препараты этого класса вызывают в организме потенциально опасные побочные эффекты. Опиоиды негативно действуют на систему дыхания, сердечную деятельность, желудочно-кишечный тракт и мочевыводящую систему. Кроме того, очень часто возникают седация и эйфория. Обезболивание с помощью опиоидов также может быть связано с развитием толерантности к этим лекарственным препаратам, возникновением физической и психической зависимости.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связи с усиленным контролем над использованием опиоидов, наибольшее применение эта группа препаратов находит в практике лечения онкологических болей.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Вопрос о лечении опиоидами обычно рассматривают после безуспешных попыток купировать боль с помощью других средств. Рекомендуется применять лекарственные формы замедленного действия,  лечение должно проводиться под наблюдением врача.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Трамадол –  препарат, обладающий низкой аффинностью к  опиоидным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μ-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рецепторам и  одновременно являющийся ингибитором обратного захвата серотонина и норадреналина. В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мета-анализе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рандомизированных контролируемых исследований было показано, что трамадол в дозе до 400 мг/сут значительно уменьшал боль и повышал социальную и физическую активность у больных с невропатическим болевым синдромом, в то время как при остеоартрозе его эффективность в отношении вышеуказанных параметров была более чем умеренной. Многие исследователи отмечают, что вероятность  злоупотребления трамадолом намного ниже, чем для опиоидов. Трамадол вызывает такие побочные эффекты, как головокружение, тошнота, запор, сонливость и ортостатическая гипотензия. Для снижения вероятности развития побочных эффектов и наркотической зависимости, применение трамадола следует начинать с низких доз (50 мг один или два раза в день) и затем титровать каждые 3-7 дней до максимальной дозы 100 мг 4 раза в день (для пациентов пожилого возраста максимальная суточная доза составляет 300 мг). Для пациентов с нарушением функции печени или почек необходима корректировка дозы.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lastRenderedPageBreak/>
        <w:t>Специфические противомигренозные средства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Идентификация в начале 90-х годов серотониновых рецепторов 5НТ1B/1D типа, выяснение их ключевой роли в патогенезе мигрени, а также появление высокоэффективных антимигренозных препаратов со свойствами агонистов 5НТ1B/1D  рецепторов способствовало появлению у этих рецепторов названия «антимигренозные». В зависимости от степени сродства к «антимигренозным» и другим типам рецепторов препараты делятся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селективные и неселективные.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Неселективные препараты. Алкалоиды спорыньи эрготамин и дигидроэрготамин обладают сродством к различным типам серотониновых рецепторов. Особенно сильно у них выражены агонистические свойства по отношению к 5 НТ1B/1D рецепторам, что как считается, обусловливает их эффективность при мигрени. В отличие от триптанов алколоиды спорыньи проявляют также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высокую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аффинность к адренергическим и допаминергическим рецепторам. Показано, что дигидроэрготамин по сравнению с эрготамином, оказывает более сильное альфа-адреноблокирующее действие и менее выраженное сосудосуживающее действие, обусловленное воздействием на 5НТ2 рецепторы. Эти препараты показали свою эффективность в отношении мигрени, но их широкое применение ограничивают побочные эффекты связанные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неселективностью. В настоящее время в РФ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только эрготамин тартрат в комбинации с кофеином (Кофетамин).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Кофетамин применяют внутрь, по 1-2 таблетки на прием во время приступа головной боли. Максимальная разовая доза - 2 таблетки, суточная - 4 таблетки. Во избежание явлений эрготизма не рекомендуется применять препарат длительно (после 7 дней применения делают перерыв на 3-4 дня). Основные побочные эффекты возникают со стороны ЦНС и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системы: возбуждение, тревожность, тремор, беспокойство, головокружение сердцебиение, тахикардия, кардиалгии, повышение АД. Возможны также тошнота, рвота, диарея, аллергические реакции, а при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длительном применении – привыкание и лекарственная зависимость.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Селективные препараты - триптаны. Это класс лекарственных средств, которые обладают высокой селективностью к серотониновым рецепторам 5НТ1D и 5НТ1В типа, расположенным в стенке крупных мозговых сосудов, сосудов твердой мозговой оболочки, нервных окончаниях тройничного нерва, иннервирующего эти сосуды, а также в чувствительном ядре тройничного нерва. Препараты являются высоко аффинными агонистами по отношению к 5НТ1D и 5НТ1В  рецепторам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умеренной аффинностью к 5НТ1А рецепторам. Они не имеют существенной фармакологической активности по отношению к 5НТ2, 5НТ3, 5НТ4, альфа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-, альфа2-, бета1- адренергическим рецепторам, Н1, Н2 гистаминовым рецепторам, мускариновым рецепторам, дофаминергическим рецепторам типа 1и 2.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Эффективность агонистов 5НТ1B/1D рецепторов при мигрени обусловлена несколькими механизмами действия: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lastRenderedPageBreak/>
        <w:t xml:space="preserve">- Сосудистый механизм действия. Оказывая непосредственное агонистическое действие в отношении постсинаптических серотониновых 5НТ1В рецепторов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гладко-мышечных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элементов сосудистой стенки, препараты вызывают сужение избыточно расширенных церебральных сосудов. Это снижает стимуляцию болевых рецепторов сосудистой стенки и способствует уменьшению боли. Триптаны обладают высокой селективностью в отношении интракраниальных кровеносных сосудов, и незначительной в отношении коронарных и периферических сосудов.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- Нейрогенный периферический механизм. Триптаны также являются агонистами серотониновых пресинаптических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ингибиторных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гетерорецепторов 5НТ1D типа расположенных на чувствительных афферентах тройничного нерва, иннервирующих церебральные сосуды. Активация этого типа рецепторов приводит к ингибированию выделения алгогенных и вазоактивных нейропептидов из периваскулярных нервных волокон тройничного нерва (субстация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, пептид, связанный с геном кальцитонина) и парасимпатических волокон (вазоактивный интестинальный пептид) лицевого нерва.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Это приводит к уменьшению нейрогенного воспаления, боли, и нормализации тонуса кровеносных сосудов.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- Нейрогенный центральный механизм. Триптаны активируют центральные 5НТ1D рецепторы, расположенные в стволе головного мозга на чувствительных ядрах тройничного нерва, ингибируют выделение алгогенных нейропептидов из центральных терминалей тройничного нерва и блокируют проведение боли на уровне чувствительных ядер ствола. Предполагается, что центральный механизм действия обусловливает продолжительность действия 5НТ1 агонистов, способствует уменьшению рецидивов головной боли и обеспечивает эффективность препаратов в отношении сопутствующих тошноты, рвоты, светобоязни и звукобоязни.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Активация 5НТ1А рецепторов проявляется анксиолитическим,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гипотензивным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и дисфорическим эффектами у этих препаратов.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На сегодняшний день в России клиническое применение нашли препараты суматриптан (Имигран, Тримигрен, Амигренин, Сумамигрен), золмитриптан (Зомиг), наратриптан (Нарамиг) и элетриптан (Релпакс).  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Сравнительная фармакокинетика триптанов.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Известно, что клиническая эффективность препарата во многом зависит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фармакокинетики. Существуют представления о том, какими фармакокинетическими показателями должен обладать «идеальный агонист 5НТ1в/1D рецепторов» (см. таблицу 6).</w:t>
      </w:r>
    </w:p>
    <w:p w:rsid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lastRenderedPageBreak/>
        <w:t>Таблица 6. Сравнительная характеристика фармакокинетических параметров триптанов для приема внутрь с "идеальным препаратом"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1524"/>
        <w:gridCol w:w="1497"/>
        <w:gridCol w:w="1515"/>
        <w:gridCol w:w="1485"/>
        <w:gridCol w:w="1487"/>
        <w:gridCol w:w="1496"/>
      </w:tblGrid>
      <w:tr w:rsidR="00E168D1" w:rsidTr="00E168D1">
        <w:tc>
          <w:tcPr>
            <w:tcW w:w="1526" w:type="dxa"/>
          </w:tcPr>
          <w:p w:rsidR="00E168D1" w:rsidRDefault="00C35A2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D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</w:p>
        </w:tc>
        <w:tc>
          <w:tcPr>
            <w:tcW w:w="1526" w:type="dxa"/>
          </w:tcPr>
          <w:p w:rsidR="00E168D1" w:rsidRDefault="00C35A2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D">
              <w:rPr>
                <w:rFonts w:ascii="Times New Roman" w:hAnsi="Times New Roman" w:cs="Times New Roman"/>
                <w:sz w:val="24"/>
                <w:szCs w:val="24"/>
              </w:rPr>
              <w:t>Био-доступность</w:t>
            </w:r>
          </w:p>
        </w:tc>
        <w:tc>
          <w:tcPr>
            <w:tcW w:w="1526" w:type="dxa"/>
          </w:tcPr>
          <w:p w:rsidR="00C35A2D" w:rsidRPr="00C35A2D" w:rsidRDefault="00C35A2D" w:rsidP="00C3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D">
              <w:rPr>
                <w:rFonts w:ascii="Times New Roman" w:hAnsi="Times New Roman" w:cs="Times New Roman"/>
                <w:sz w:val="24"/>
                <w:szCs w:val="24"/>
              </w:rPr>
              <w:t>T1/2</w:t>
            </w:r>
          </w:p>
          <w:p w:rsidR="00E168D1" w:rsidRDefault="00C35A2D" w:rsidP="00C3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D">
              <w:rPr>
                <w:rFonts w:ascii="Times New Roman" w:hAnsi="Times New Roman" w:cs="Times New Roman"/>
                <w:sz w:val="24"/>
                <w:szCs w:val="24"/>
              </w:rPr>
              <w:t>(часы)</w:t>
            </w:r>
          </w:p>
        </w:tc>
        <w:tc>
          <w:tcPr>
            <w:tcW w:w="1526" w:type="dxa"/>
          </w:tcPr>
          <w:p w:rsidR="00E168D1" w:rsidRDefault="00C35A2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D">
              <w:rPr>
                <w:rFonts w:ascii="Times New Roman" w:hAnsi="Times New Roman" w:cs="Times New Roman"/>
                <w:sz w:val="24"/>
                <w:szCs w:val="24"/>
              </w:rPr>
              <w:t>Tmax(час)</w:t>
            </w:r>
          </w:p>
        </w:tc>
        <w:tc>
          <w:tcPr>
            <w:tcW w:w="1526" w:type="dxa"/>
          </w:tcPr>
          <w:p w:rsidR="00E168D1" w:rsidRDefault="00C35A2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526" w:type="dxa"/>
          </w:tcPr>
          <w:p w:rsidR="00E168D1" w:rsidRDefault="00C35A2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D">
              <w:rPr>
                <w:rFonts w:ascii="Times New Roman" w:hAnsi="Times New Roman" w:cs="Times New Roman"/>
                <w:sz w:val="24"/>
                <w:szCs w:val="24"/>
              </w:rPr>
              <w:t>ГЭБ</w:t>
            </w:r>
          </w:p>
        </w:tc>
        <w:tc>
          <w:tcPr>
            <w:tcW w:w="1526" w:type="dxa"/>
          </w:tcPr>
          <w:p w:rsidR="00E168D1" w:rsidRDefault="00C35A2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168D1" w:rsidTr="00E168D1">
        <w:tc>
          <w:tcPr>
            <w:tcW w:w="1526" w:type="dxa"/>
          </w:tcPr>
          <w:p w:rsidR="00E168D1" w:rsidRDefault="006D2B4C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4C">
              <w:rPr>
                <w:rFonts w:ascii="Times New Roman" w:hAnsi="Times New Roman" w:cs="Times New Roman"/>
                <w:sz w:val="24"/>
                <w:szCs w:val="24"/>
              </w:rPr>
              <w:t>Идеальный препарат</w:t>
            </w:r>
          </w:p>
        </w:tc>
        <w:tc>
          <w:tcPr>
            <w:tcW w:w="1526" w:type="dxa"/>
          </w:tcPr>
          <w:p w:rsidR="006D2B4C" w:rsidRPr="006D2B4C" w:rsidRDefault="006D2B4C" w:rsidP="006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4C">
              <w:rPr>
                <w:rFonts w:ascii="Times New Roman" w:hAnsi="Times New Roman" w:cs="Times New Roman"/>
                <w:sz w:val="24"/>
                <w:szCs w:val="24"/>
              </w:rPr>
              <w:t xml:space="preserve">40-50 </w:t>
            </w:r>
          </w:p>
          <w:p w:rsidR="00E168D1" w:rsidRDefault="006D2B4C" w:rsidP="006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4C">
              <w:rPr>
                <w:rFonts w:ascii="Times New Roman" w:hAnsi="Times New Roman" w:cs="Times New Roman"/>
                <w:sz w:val="24"/>
                <w:szCs w:val="24"/>
              </w:rPr>
              <w:t>(+/++)</w:t>
            </w:r>
          </w:p>
        </w:tc>
        <w:tc>
          <w:tcPr>
            <w:tcW w:w="1526" w:type="dxa"/>
          </w:tcPr>
          <w:p w:rsidR="00E168D1" w:rsidRDefault="006D2B4C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4C">
              <w:rPr>
                <w:rFonts w:ascii="Times New Roman" w:hAnsi="Times New Roman" w:cs="Times New Roman"/>
                <w:sz w:val="24"/>
                <w:szCs w:val="24"/>
              </w:rPr>
              <w:t>≥4,0-5,0 (+/++)</w:t>
            </w:r>
          </w:p>
        </w:tc>
        <w:tc>
          <w:tcPr>
            <w:tcW w:w="1526" w:type="dxa"/>
          </w:tcPr>
          <w:p w:rsidR="006D2B4C" w:rsidRPr="006D2B4C" w:rsidRDefault="006D2B4C" w:rsidP="006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4C">
              <w:rPr>
                <w:rFonts w:ascii="Times New Roman" w:hAnsi="Times New Roman" w:cs="Times New Roman"/>
                <w:sz w:val="24"/>
                <w:szCs w:val="24"/>
              </w:rPr>
              <w:t>‹1 час</w:t>
            </w:r>
          </w:p>
          <w:p w:rsidR="00E168D1" w:rsidRDefault="006D2B4C" w:rsidP="006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4C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1526" w:type="dxa"/>
          </w:tcPr>
          <w:p w:rsidR="00E168D1" w:rsidRDefault="000C6A10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168D1" w:rsidRDefault="000C6A10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168D1" w:rsidRDefault="000C6A10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1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E168D1" w:rsidTr="00E168D1">
        <w:tc>
          <w:tcPr>
            <w:tcW w:w="1526" w:type="dxa"/>
          </w:tcPr>
          <w:p w:rsidR="00E168D1" w:rsidRDefault="00E44F3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F3D">
              <w:rPr>
                <w:rFonts w:ascii="Times New Roman" w:hAnsi="Times New Roman" w:cs="Times New Roman"/>
                <w:sz w:val="24"/>
                <w:szCs w:val="24"/>
              </w:rPr>
              <w:t>Суматриптан</w:t>
            </w:r>
          </w:p>
        </w:tc>
        <w:tc>
          <w:tcPr>
            <w:tcW w:w="1526" w:type="dxa"/>
          </w:tcPr>
          <w:p w:rsidR="00E168D1" w:rsidRDefault="005C448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8B">
              <w:rPr>
                <w:rFonts w:ascii="Times New Roman" w:hAnsi="Times New Roman" w:cs="Times New Roman"/>
                <w:sz w:val="24"/>
                <w:szCs w:val="24"/>
              </w:rPr>
              <w:t>14 (-)</w:t>
            </w:r>
          </w:p>
        </w:tc>
        <w:tc>
          <w:tcPr>
            <w:tcW w:w="1526" w:type="dxa"/>
          </w:tcPr>
          <w:p w:rsidR="00E168D1" w:rsidRDefault="005C448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8B">
              <w:rPr>
                <w:rFonts w:ascii="Times New Roman" w:hAnsi="Times New Roman" w:cs="Times New Roman"/>
                <w:sz w:val="24"/>
                <w:szCs w:val="24"/>
              </w:rPr>
              <w:t>2,0 (-)</w:t>
            </w:r>
          </w:p>
        </w:tc>
        <w:tc>
          <w:tcPr>
            <w:tcW w:w="1526" w:type="dxa"/>
          </w:tcPr>
          <w:p w:rsidR="00E168D1" w:rsidRDefault="00353ED5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ED5">
              <w:rPr>
                <w:rFonts w:ascii="Times New Roman" w:hAnsi="Times New Roman" w:cs="Times New Roman"/>
                <w:sz w:val="24"/>
                <w:szCs w:val="24"/>
              </w:rPr>
              <w:t>2,0-2,5 (-)</w:t>
            </w:r>
          </w:p>
        </w:tc>
        <w:tc>
          <w:tcPr>
            <w:tcW w:w="1526" w:type="dxa"/>
          </w:tcPr>
          <w:p w:rsidR="00E168D1" w:rsidRDefault="005B6CF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E168D1" w:rsidRDefault="005B6CF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B">
              <w:rPr>
                <w:rFonts w:ascii="Times New Roman" w:hAnsi="Times New Roman" w:cs="Times New Roman"/>
                <w:sz w:val="24"/>
                <w:szCs w:val="24"/>
              </w:rPr>
              <w:t>&lt; 20 (-)</w:t>
            </w:r>
          </w:p>
        </w:tc>
        <w:tc>
          <w:tcPr>
            <w:tcW w:w="1526" w:type="dxa"/>
          </w:tcPr>
          <w:p w:rsidR="00E168D1" w:rsidRDefault="00C30AB7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8D1" w:rsidTr="00E168D1">
        <w:tc>
          <w:tcPr>
            <w:tcW w:w="1526" w:type="dxa"/>
          </w:tcPr>
          <w:p w:rsidR="00E168D1" w:rsidRDefault="00E44F3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F3D">
              <w:rPr>
                <w:rFonts w:ascii="Times New Roman" w:hAnsi="Times New Roman" w:cs="Times New Roman"/>
                <w:sz w:val="24"/>
                <w:szCs w:val="24"/>
              </w:rPr>
              <w:t>Золмитриптан</w:t>
            </w:r>
          </w:p>
        </w:tc>
        <w:tc>
          <w:tcPr>
            <w:tcW w:w="1526" w:type="dxa"/>
          </w:tcPr>
          <w:p w:rsidR="00E168D1" w:rsidRDefault="005C448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8B">
              <w:rPr>
                <w:rFonts w:ascii="Times New Roman" w:hAnsi="Times New Roman" w:cs="Times New Roman"/>
                <w:sz w:val="24"/>
                <w:szCs w:val="24"/>
              </w:rPr>
              <w:t>40 (+)</w:t>
            </w:r>
          </w:p>
        </w:tc>
        <w:tc>
          <w:tcPr>
            <w:tcW w:w="1526" w:type="dxa"/>
          </w:tcPr>
          <w:p w:rsidR="00E168D1" w:rsidRDefault="005C448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48B">
              <w:rPr>
                <w:rFonts w:ascii="Times New Roman" w:hAnsi="Times New Roman" w:cs="Times New Roman"/>
                <w:sz w:val="24"/>
                <w:szCs w:val="24"/>
              </w:rPr>
              <w:t>,0 (-)</w:t>
            </w:r>
          </w:p>
        </w:tc>
        <w:tc>
          <w:tcPr>
            <w:tcW w:w="1526" w:type="dxa"/>
          </w:tcPr>
          <w:p w:rsidR="00E168D1" w:rsidRDefault="00353ED5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ED5">
              <w:rPr>
                <w:rFonts w:ascii="Times New Roman" w:hAnsi="Times New Roman" w:cs="Times New Roman"/>
                <w:sz w:val="24"/>
                <w:szCs w:val="24"/>
              </w:rPr>
              <w:t>1,8-2,5 (-)</w:t>
            </w:r>
          </w:p>
        </w:tc>
        <w:tc>
          <w:tcPr>
            <w:tcW w:w="1526" w:type="dxa"/>
          </w:tcPr>
          <w:p w:rsidR="00E168D1" w:rsidRDefault="005B6CF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E168D1" w:rsidRDefault="005B6CF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B">
              <w:rPr>
                <w:rFonts w:ascii="Times New Roman" w:hAnsi="Times New Roman" w:cs="Times New Roman"/>
                <w:sz w:val="24"/>
                <w:szCs w:val="24"/>
              </w:rPr>
              <w:t>&gt; 20 (+)</w:t>
            </w:r>
          </w:p>
        </w:tc>
        <w:tc>
          <w:tcPr>
            <w:tcW w:w="1526" w:type="dxa"/>
          </w:tcPr>
          <w:p w:rsidR="00E168D1" w:rsidRDefault="00C30AB7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8D1" w:rsidTr="00E168D1">
        <w:tc>
          <w:tcPr>
            <w:tcW w:w="1526" w:type="dxa"/>
          </w:tcPr>
          <w:p w:rsidR="00E168D1" w:rsidRDefault="00E44F3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F3D">
              <w:rPr>
                <w:rFonts w:ascii="Times New Roman" w:hAnsi="Times New Roman" w:cs="Times New Roman"/>
                <w:sz w:val="24"/>
                <w:szCs w:val="24"/>
              </w:rPr>
              <w:t>Элетриптан</w:t>
            </w:r>
          </w:p>
        </w:tc>
        <w:tc>
          <w:tcPr>
            <w:tcW w:w="1526" w:type="dxa"/>
          </w:tcPr>
          <w:p w:rsidR="00E168D1" w:rsidRDefault="005C448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8B">
              <w:rPr>
                <w:rFonts w:ascii="Times New Roman" w:hAnsi="Times New Roman" w:cs="Times New Roman"/>
                <w:sz w:val="24"/>
                <w:szCs w:val="24"/>
              </w:rPr>
              <w:t>50 (++)</w:t>
            </w:r>
          </w:p>
        </w:tc>
        <w:tc>
          <w:tcPr>
            <w:tcW w:w="1526" w:type="dxa"/>
          </w:tcPr>
          <w:p w:rsidR="00E168D1" w:rsidRDefault="005C448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8B">
              <w:rPr>
                <w:rFonts w:ascii="Times New Roman" w:hAnsi="Times New Roman" w:cs="Times New Roman"/>
                <w:sz w:val="24"/>
                <w:szCs w:val="24"/>
              </w:rPr>
              <w:t>5,0 (++)</w:t>
            </w:r>
          </w:p>
        </w:tc>
        <w:tc>
          <w:tcPr>
            <w:tcW w:w="1526" w:type="dxa"/>
          </w:tcPr>
          <w:p w:rsidR="00E168D1" w:rsidRDefault="00353ED5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ED5">
              <w:rPr>
                <w:rFonts w:ascii="Times New Roman" w:hAnsi="Times New Roman" w:cs="Times New Roman"/>
                <w:sz w:val="24"/>
                <w:szCs w:val="24"/>
              </w:rPr>
              <w:t>1,4-1,8 (-)</w:t>
            </w:r>
          </w:p>
        </w:tc>
        <w:tc>
          <w:tcPr>
            <w:tcW w:w="1526" w:type="dxa"/>
          </w:tcPr>
          <w:p w:rsidR="00E168D1" w:rsidRDefault="005B6CF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168D1" w:rsidRDefault="005B6CF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B">
              <w:rPr>
                <w:rFonts w:ascii="Times New Roman" w:hAnsi="Times New Roman" w:cs="Times New Roman"/>
                <w:sz w:val="24"/>
                <w:szCs w:val="24"/>
              </w:rPr>
              <w:t>&gt; 20 (+)</w:t>
            </w:r>
          </w:p>
        </w:tc>
        <w:tc>
          <w:tcPr>
            <w:tcW w:w="1526" w:type="dxa"/>
          </w:tcPr>
          <w:p w:rsidR="00E168D1" w:rsidRDefault="00C30AB7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8D1" w:rsidTr="00E168D1">
        <w:tc>
          <w:tcPr>
            <w:tcW w:w="1526" w:type="dxa"/>
          </w:tcPr>
          <w:p w:rsidR="00E168D1" w:rsidRDefault="00E44F3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F3D">
              <w:rPr>
                <w:rFonts w:ascii="Times New Roman" w:hAnsi="Times New Roman" w:cs="Times New Roman"/>
                <w:sz w:val="24"/>
                <w:szCs w:val="24"/>
              </w:rPr>
              <w:t>Наратриптан</w:t>
            </w:r>
          </w:p>
        </w:tc>
        <w:tc>
          <w:tcPr>
            <w:tcW w:w="1526" w:type="dxa"/>
          </w:tcPr>
          <w:p w:rsidR="00E168D1" w:rsidRDefault="005C448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8B">
              <w:rPr>
                <w:rFonts w:ascii="Times New Roman" w:hAnsi="Times New Roman" w:cs="Times New Roman"/>
                <w:sz w:val="24"/>
                <w:szCs w:val="24"/>
              </w:rPr>
              <w:t>63-74 (++)</w:t>
            </w:r>
          </w:p>
        </w:tc>
        <w:tc>
          <w:tcPr>
            <w:tcW w:w="1526" w:type="dxa"/>
          </w:tcPr>
          <w:p w:rsidR="00E168D1" w:rsidRDefault="005C448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448B">
              <w:rPr>
                <w:rFonts w:ascii="Times New Roman" w:hAnsi="Times New Roman" w:cs="Times New Roman"/>
                <w:sz w:val="24"/>
                <w:szCs w:val="24"/>
              </w:rPr>
              <w:t>,0 (++)</w:t>
            </w:r>
          </w:p>
        </w:tc>
        <w:tc>
          <w:tcPr>
            <w:tcW w:w="1526" w:type="dxa"/>
          </w:tcPr>
          <w:p w:rsidR="00E168D1" w:rsidRDefault="00353ED5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ED5">
              <w:rPr>
                <w:rFonts w:ascii="Times New Roman" w:hAnsi="Times New Roman" w:cs="Times New Roman"/>
                <w:sz w:val="24"/>
                <w:szCs w:val="24"/>
              </w:rPr>
              <w:t>2,0-3,0 (-)</w:t>
            </w:r>
          </w:p>
        </w:tc>
        <w:tc>
          <w:tcPr>
            <w:tcW w:w="1526" w:type="dxa"/>
          </w:tcPr>
          <w:p w:rsidR="00E168D1" w:rsidRDefault="005B6CF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E168D1" w:rsidRDefault="005B6CFB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B">
              <w:rPr>
                <w:rFonts w:ascii="Times New Roman" w:hAnsi="Times New Roman" w:cs="Times New Roman"/>
                <w:sz w:val="24"/>
                <w:szCs w:val="24"/>
              </w:rPr>
              <w:t>&gt; 20 (+)</w:t>
            </w:r>
          </w:p>
        </w:tc>
        <w:tc>
          <w:tcPr>
            <w:tcW w:w="1526" w:type="dxa"/>
          </w:tcPr>
          <w:p w:rsidR="00E168D1" w:rsidRDefault="00C30AB7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Примечание: Т1/2 - период полувыведения; Тmax – время максимальной концентрации препарата в плазме; ГЭ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способность проникать через гемато-энцефалический барьер, измеренная в % как соотношение концентрации препарата ликвор/плазма; АМ– наличие у препарата активных метаболитов.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Согласно этой оценке препарат для приема внутрь должен обладать высокой биодоступностью (не менее 40-50 %), достаточно длинным периодом полувыведения (4-6 часов), что позволит избежать частого приема препарата и рецидива головной боли. Весьма важно короткое время (не более 1 часа) накопления максимальной концентрации (Т max) в плазме, что обеспечит быстрое развитие лечебного эффекта. Предпочтительно, чтобы препарат не имел активных метаболитов, способных изменить фармакодинамические и/или фармакокинетические параметры родительской субстанции. Проникновение через гематоэнцефалический барьер обеспечит развитие центрального нейрогенного механизма и может оказаться полезным для лечения сопутствующих вегетативных симптомов (тошнота</w:t>
      </w:r>
      <w:r w:rsidR="005769BC">
        <w:rPr>
          <w:rFonts w:ascii="Times New Roman" w:hAnsi="Times New Roman" w:cs="Times New Roman"/>
          <w:sz w:val="24"/>
          <w:szCs w:val="24"/>
        </w:rPr>
        <w:t>, рвота, свет</w:t>
      </w:r>
      <w:proofErr w:type="gramStart"/>
      <w:r w:rsidR="005769B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769BC">
        <w:rPr>
          <w:rFonts w:ascii="Times New Roman" w:hAnsi="Times New Roman" w:cs="Times New Roman"/>
          <w:sz w:val="24"/>
          <w:szCs w:val="24"/>
        </w:rPr>
        <w:t>, звукобоязнь).</w:t>
      </w:r>
      <w:r w:rsidR="005769BC">
        <w:rPr>
          <w:rFonts w:ascii="Times New Roman" w:hAnsi="Times New Roman" w:cs="Times New Roman"/>
          <w:sz w:val="24"/>
          <w:szCs w:val="24"/>
        </w:rPr>
        <w:cr/>
      </w:r>
      <w:r w:rsidRPr="00E168D1">
        <w:rPr>
          <w:rFonts w:ascii="Times New Roman" w:hAnsi="Times New Roman" w:cs="Times New Roman"/>
          <w:sz w:val="24"/>
          <w:szCs w:val="24"/>
        </w:rPr>
        <w:t>К сожалению, ни один из сравниваемых препаратов не способен в течение часа создать высокую концетрацию в плазме крови, кроме того, у золмитриптана и суматриптана корорткий Т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/2 и они имеют активные метаболиты, которые влияют на фармакокинетику родительской субстанции. Согласно критериям оценки фармакокинетических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сравниваемые триптаны расположились в следующем порядке: «идеальный 5НТ1 агонист» (7 баллов), наратриптан (6 баллов), элетриптан (6 баллов), золмитриптан (2 балла), суматриптан (0 баллов).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Клиническая эффективность триптанов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Клиническая эффективность триптанов при мигрени доказана в больших, плацебо-контролируемых исследованиях, которые отражены в нескольких опубликованных сравнительных анализах. Примерно у 60% пациентов с мигренью, не ответивших ранее на лечение НПВП, триптаны были эффективны. Триптаны эффективны в любой период приступа мигрени, однако их раннее применение повышает эффективность лечения. Применение триптанов в фазу ауры до появления головной боли неэффективно.  Накопленный опыт долгосрочного применения триптанов свидетельствует, что их не следует применять более 9 дней в месяц, так как это достоверно повышает риск перехода эпизодической формы мигрени в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хроническую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и способствует развитию абузусной головной боли.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Клиническая эффективность суматриптана (Имиграна) во многом зависит от способа его применения и наибольшей она бывает после подкожного введения 6 мг препарата. Через 1 час после инъекции 6 мг суматриптана головная боль исчезла или уменьшилась до легкой у 72% больных, после приема таблетки (100 мг) у 27%, назального спрея (20 мг) - у 45% больных. Через 2 часа этот показатель равнялся 76% для инъекционной формы, 53% для таблетированной формы, 66% для назального </w:t>
      </w:r>
      <w:r w:rsidRPr="00E168D1">
        <w:rPr>
          <w:rFonts w:ascii="Times New Roman" w:hAnsi="Times New Roman" w:cs="Times New Roman"/>
          <w:sz w:val="24"/>
          <w:szCs w:val="24"/>
        </w:rPr>
        <w:lastRenderedPageBreak/>
        <w:t xml:space="preserve">спрея и 69%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суппозиторий. Инъекционная форма суматриптана оказалась также более эффективной и в отношении сопутствующих приступу тошноты, свет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и звукобоязни. Через 2 часа после инъекции 6 мг суматриптана тошнота сохранялась лишь у 10%, свет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и звукобоязнь у 14% больных, а после приема 100 мг таблетки– у 28% и 29% больных, соответственно.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Суматриптан эффективен при различных формах мигрени, в том числе и менструальной.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Частота рецидива головной боли в течение 24 часов, после применения суматриптана колеблется 34 до 45 %. Препарат остается эффективным при купировании повторных приступов мигрени.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Клиническая эффективность золмитриптана (Зомиг). Препарат исследован у 3865 больных. У большинства больных оптимальной дозой является 2,5 мг. Существенный эффект золмитриптана проявляется в течение 1 часа после приема 2,5 мг. В течение первых 30 минут головная боль исчезает или уменьшается до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легкой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у 7% больных, через 1 час у 25%, через 2 часа у 60%, через 4 часа у 72% больных (табл. 11). Средний процент приступов мигрени, при которых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требуется повторный прием золмитриптана составляет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12%. При возобновлении головной боли применение препарата в дозе 5 мг эффективно в 90% случаев. Тошнота уменьшается через 2 часа у 20%, а через 4 часа у 29% больных. Симптомы светобоязни и звукобоязни уменьшаются или исчезают через 2 часа у 40%, через 4 часа у 50% больных. Рекомендуемая доза для лечения приступа - 2,5 мг золмитриптана. Если симптомы мигрени продолжаются или вновь возникли в течение 24 часов, можно принять препарат повторно в дозе 2,5-5 мг, но не ранее 2 часов после приема первой дозы. Общая суточная доза не должна превышать 15 мг.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Клиническая эффективность элетриптана (Релпакс) исследована у 4689 пациентов с мигренью. Около 67-70 % пациентов сообщают о значительном уменьшении и исчезновении головной боли через 30– 120 минут от момента приема 40 мг/ 80 мг препарата. Если применение 40 мг или 80 мг элетриптана не привело к уменьшению головной боли в течение 2 часов, то для купирования того же приступа не следует принимать вторую дозу, так как в клинических испытаниях эффективность такого лечения не доказана. Однако при повторном приступе мигрени применение элетриптана может быть эффективным. Суточная доза элетриптана не должна превышать -160 мг. У 74-77% больных элетриптан уменьшает тошноту, рвоту, светобязнь и звукобоязнь. Эффективность и безопасность препарата у детей и беременных не исследовалась. Препарат высоэффективен при лечении менструальной мигрени.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Побочные эффекты и взаимодействие триптанов. Триптаны переносятся хорошо. Побочные эффекты появляются в течение 4 часов после приема препарата. Наиболее часто встречаются тошнота, головокружение, сонливость, астения, ощущения жара, сухость во рту. Случаи передозировки редки. У ряда пациентов отмечается седативный эффект. С осторожностью необходимо назначать триптаны беременным и во время лактации. У пациентов с нарушением функции почек не требуется коррекция дозы. Безопасность триптанов у детей не исследована. Триптаны следует с осторожностью применять у лиц с ИБС, плохо контролируемой гипертензией, ПНМК, инсультами, аритмией, а также при индивидуальной гиперчувствительности к препарату.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Парацетамол, аспирин, метоклопрамид, эрготамин не оказывают существенного влияния на фармакодинамику, фармакокинетику и переносимость триптанов. Это позволяет рекомендовать совместный прием триптанов с анальгетиками в случаях неэффективности последних. Препараты для межприступного лечения мигрени (бета-блокаторы, пизотифен) также не оказывают какого-либо действия на эффективность и переносимость триптанов. Сопутствующий приём других 5НТ1 агонистов (в том числе дигидроэрготамина)  или взаимозаменяемость триптанов во время приступа не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рекомендованы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lastRenderedPageBreak/>
        <w:t>Сравнительная эффективность триптанов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Различия в клинической эффективности триптанов определяются не только фармакологическими параметрами препаратов, но и индивидуальной чувствительностью пациента. В связи с этим, при отсутствии эффекта от применения одного триптана, не следует отказываться в следующий раз от использования другого триптана. Уменьшение головной боли до степени незначительной через 2 часа после приема препарата считается наиболее важным критерием для сравнительной оценки эффективности триптанов (таблица 7).</w:t>
      </w:r>
    </w:p>
    <w:p w:rsid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Таблица 7.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Сравнительная эффективность триптанов (Mathew N.T.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Hettiarachchi J, Alderman J., Headache 2003,43)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AC41CD" w:rsidTr="00AC41CD">
        <w:tc>
          <w:tcPr>
            <w:tcW w:w="1000" w:type="pct"/>
            <w:vMerge w:val="restart"/>
          </w:tcPr>
          <w:p w:rsidR="00AC41CD" w:rsidRDefault="00AC41C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C41CD"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4000" w:type="pct"/>
            <w:gridSpan w:val="4"/>
          </w:tcPr>
          <w:p w:rsidR="00AC41CD" w:rsidRDefault="00AC41C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AC41CD">
              <w:rPr>
                <w:rFonts w:ascii="Times New Roman" w:hAnsi="Times New Roman" w:cs="Times New Roman"/>
                <w:sz w:val="24"/>
                <w:szCs w:val="24"/>
              </w:rPr>
              <w:t>Время после приема внутрь препарата</w:t>
            </w:r>
          </w:p>
        </w:tc>
      </w:tr>
      <w:tr w:rsidR="00AC41CD" w:rsidTr="00E168D1">
        <w:tc>
          <w:tcPr>
            <w:tcW w:w="1000" w:type="pct"/>
            <w:vMerge/>
          </w:tcPr>
          <w:p w:rsidR="00AC41CD" w:rsidRDefault="00AC41C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AC41CD" w:rsidRDefault="00397524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52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000" w:type="pct"/>
          </w:tcPr>
          <w:p w:rsidR="00AC41CD" w:rsidRDefault="00397524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52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000" w:type="pct"/>
          </w:tcPr>
          <w:p w:rsidR="00AC41CD" w:rsidRDefault="00B91A8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524" w:rsidRPr="0039752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0" w:type="pct"/>
          </w:tcPr>
          <w:p w:rsidR="00AC41CD" w:rsidRDefault="00B91A8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7524" w:rsidRPr="0039752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168D1" w:rsidTr="00E168D1">
        <w:tc>
          <w:tcPr>
            <w:tcW w:w="1000" w:type="pct"/>
          </w:tcPr>
          <w:p w:rsidR="00E168D1" w:rsidRDefault="0046779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9E">
              <w:rPr>
                <w:rFonts w:ascii="Times New Roman" w:hAnsi="Times New Roman" w:cs="Times New Roman"/>
                <w:sz w:val="24"/>
                <w:szCs w:val="24"/>
              </w:rPr>
              <w:t>Плацебо</w:t>
            </w:r>
          </w:p>
        </w:tc>
        <w:tc>
          <w:tcPr>
            <w:tcW w:w="1000" w:type="pct"/>
          </w:tcPr>
          <w:p w:rsidR="00E168D1" w:rsidRDefault="00E2552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2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00" w:type="pct"/>
          </w:tcPr>
          <w:p w:rsidR="00E168D1" w:rsidRDefault="00E2552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2E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000" w:type="pct"/>
          </w:tcPr>
          <w:p w:rsidR="00E168D1" w:rsidRDefault="00E2552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2E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000" w:type="pct"/>
          </w:tcPr>
          <w:p w:rsidR="00E168D1" w:rsidRDefault="00E2552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2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E168D1" w:rsidTr="00E168D1">
        <w:tc>
          <w:tcPr>
            <w:tcW w:w="1000" w:type="pct"/>
          </w:tcPr>
          <w:p w:rsidR="00E168D1" w:rsidRDefault="0046779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9E">
              <w:rPr>
                <w:rFonts w:ascii="Times New Roman" w:hAnsi="Times New Roman" w:cs="Times New Roman"/>
                <w:sz w:val="24"/>
                <w:szCs w:val="24"/>
              </w:rPr>
              <w:t>Суматриптан 50 мг</w:t>
            </w:r>
          </w:p>
        </w:tc>
        <w:tc>
          <w:tcPr>
            <w:tcW w:w="1000" w:type="pct"/>
          </w:tcPr>
          <w:p w:rsidR="00E168D1" w:rsidRDefault="001C09E6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E6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000" w:type="pct"/>
          </w:tcPr>
          <w:p w:rsidR="00E168D1" w:rsidRDefault="0026297F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7F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00" w:type="pct"/>
          </w:tcPr>
          <w:p w:rsidR="00E168D1" w:rsidRDefault="00BF4D1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00" w:type="pct"/>
          </w:tcPr>
          <w:p w:rsidR="00E168D1" w:rsidRDefault="00E27113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13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E168D1" w:rsidTr="00E168D1">
        <w:tc>
          <w:tcPr>
            <w:tcW w:w="1000" w:type="pct"/>
          </w:tcPr>
          <w:p w:rsidR="00E168D1" w:rsidRDefault="0046779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9E">
              <w:rPr>
                <w:rFonts w:ascii="Times New Roman" w:hAnsi="Times New Roman" w:cs="Times New Roman"/>
                <w:sz w:val="24"/>
                <w:szCs w:val="24"/>
              </w:rPr>
              <w:t>Суматриптан 100 мг</w:t>
            </w:r>
          </w:p>
        </w:tc>
        <w:tc>
          <w:tcPr>
            <w:tcW w:w="1000" w:type="pct"/>
          </w:tcPr>
          <w:p w:rsidR="00E168D1" w:rsidRDefault="001C09E6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E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000" w:type="pct"/>
          </w:tcPr>
          <w:p w:rsidR="00E168D1" w:rsidRDefault="0026297F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7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00" w:type="pct"/>
          </w:tcPr>
          <w:p w:rsidR="00E168D1" w:rsidRDefault="00BF4D1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1E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000" w:type="pct"/>
          </w:tcPr>
          <w:p w:rsidR="00E168D1" w:rsidRDefault="00E27113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13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E168D1" w:rsidTr="00E168D1">
        <w:tc>
          <w:tcPr>
            <w:tcW w:w="1000" w:type="pct"/>
          </w:tcPr>
          <w:p w:rsidR="00E168D1" w:rsidRDefault="0046779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9E">
              <w:rPr>
                <w:rFonts w:ascii="Times New Roman" w:hAnsi="Times New Roman" w:cs="Times New Roman"/>
                <w:sz w:val="24"/>
                <w:szCs w:val="24"/>
              </w:rPr>
              <w:t>Золмитриптан 2,5 мг</w:t>
            </w:r>
          </w:p>
        </w:tc>
        <w:tc>
          <w:tcPr>
            <w:tcW w:w="1000" w:type="pct"/>
          </w:tcPr>
          <w:p w:rsidR="00E168D1" w:rsidRDefault="001C09E6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E6"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  <w:tc>
          <w:tcPr>
            <w:tcW w:w="1000" w:type="pct"/>
          </w:tcPr>
          <w:p w:rsidR="00E168D1" w:rsidRDefault="0026297F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7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00" w:type="pct"/>
          </w:tcPr>
          <w:p w:rsidR="00E168D1" w:rsidRDefault="00BF4D1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1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00" w:type="pct"/>
          </w:tcPr>
          <w:p w:rsidR="00E168D1" w:rsidRDefault="009B6668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27113" w:rsidRPr="00E271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68D1" w:rsidTr="00E168D1">
        <w:tc>
          <w:tcPr>
            <w:tcW w:w="1000" w:type="pct"/>
          </w:tcPr>
          <w:p w:rsidR="00E168D1" w:rsidRDefault="0046779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9E">
              <w:rPr>
                <w:rFonts w:ascii="Times New Roman" w:hAnsi="Times New Roman" w:cs="Times New Roman"/>
                <w:sz w:val="24"/>
                <w:szCs w:val="24"/>
              </w:rPr>
              <w:t>Наратриптан 2,5 мг</w:t>
            </w:r>
          </w:p>
        </w:tc>
        <w:tc>
          <w:tcPr>
            <w:tcW w:w="1000" w:type="pct"/>
          </w:tcPr>
          <w:p w:rsidR="00E168D1" w:rsidRDefault="001C09E6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E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00" w:type="pct"/>
          </w:tcPr>
          <w:p w:rsidR="00E168D1" w:rsidRDefault="0026297F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7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00" w:type="pct"/>
          </w:tcPr>
          <w:p w:rsidR="00E168D1" w:rsidRDefault="00BF4D1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1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000" w:type="pct"/>
          </w:tcPr>
          <w:p w:rsidR="00E168D1" w:rsidRDefault="009B6668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B6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68D1" w:rsidTr="00E168D1">
        <w:tc>
          <w:tcPr>
            <w:tcW w:w="1000" w:type="pct"/>
          </w:tcPr>
          <w:p w:rsidR="00E168D1" w:rsidRDefault="0046779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9E">
              <w:rPr>
                <w:rFonts w:ascii="Times New Roman" w:hAnsi="Times New Roman" w:cs="Times New Roman"/>
                <w:sz w:val="24"/>
                <w:szCs w:val="24"/>
              </w:rPr>
              <w:t>Элетриптан 40 мг</w:t>
            </w:r>
          </w:p>
        </w:tc>
        <w:tc>
          <w:tcPr>
            <w:tcW w:w="1000" w:type="pct"/>
          </w:tcPr>
          <w:p w:rsidR="00E168D1" w:rsidRDefault="001C09E6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E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000" w:type="pct"/>
          </w:tcPr>
          <w:p w:rsidR="00E168D1" w:rsidRDefault="0026297F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7F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000" w:type="pct"/>
          </w:tcPr>
          <w:p w:rsidR="00E168D1" w:rsidRDefault="00BF4D1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1E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000" w:type="pct"/>
          </w:tcPr>
          <w:p w:rsidR="00E168D1" w:rsidRDefault="009B6668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6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E168D1" w:rsidTr="00E168D1">
        <w:tc>
          <w:tcPr>
            <w:tcW w:w="1000" w:type="pct"/>
          </w:tcPr>
          <w:p w:rsidR="00E168D1" w:rsidRDefault="0046779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Элетриптан 8</w:t>
            </w:r>
            <w:r w:rsidRPr="0046779E">
              <w:rPr>
                <w:rFonts w:ascii="Times New Roman" w:hAnsi="Times New Roman" w:cs="Times New Roman"/>
                <w:sz w:val="24"/>
                <w:szCs w:val="24"/>
              </w:rPr>
              <w:t>0 мг</w:t>
            </w:r>
          </w:p>
        </w:tc>
        <w:tc>
          <w:tcPr>
            <w:tcW w:w="1000" w:type="pct"/>
          </w:tcPr>
          <w:p w:rsidR="00E168D1" w:rsidRDefault="001C09E6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E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000" w:type="pct"/>
          </w:tcPr>
          <w:p w:rsidR="00E168D1" w:rsidRDefault="0026297F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7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00" w:type="pct"/>
          </w:tcPr>
          <w:p w:rsidR="00E168D1" w:rsidRDefault="00BF4D1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1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00" w:type="pct"/>
          </w:tcPr>
          <w:p w:rsidR="00E168D1" w:rsidRDefault="009B6668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B6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Примечание: цифры в таблице – количество пациентов с полным купированием головной боли или её уменьшением до степени незначительной.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68D1">
        <w:rPr>
          <w:rFonts w:ascii="Times New Roman" w:hAnsi="Times New Roman" w:cs="Times New Roman"/>
          <w:sz w:val="24"/>
          <w:szCs w:val="24"/>
        </w:rPr>
        <w:t>Мета-анализ 53 исследований показывает, что эффективность триптанов принятых внутрь примерно одинакова, и только увеличение дозы элетриптана до 80 мг позволяет повысить эффективность лечения, как в целом, так и в первые 30 минут после приема препарата (Ferrari M.D., Roon K.I., Lipton R.B., Goadsby P.J. 2001, Mathew N.T.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Hettiarachchi J, Alderman J. 2003) (табл. 8).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Таблица 8. Результаты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мета-анализа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53 исследований эффективности триптанов (Ferrari M.D., Roon K.I., Lipton R.B., Goadsby P.J. 2001)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2088"/>
        <w:gridCol w:w="2088"/>
        <w:gridCol w:w="2296"/>
        <w:gridCol w:w="2110"/>
      </w:tblGrid>
      <w:tr w:rsidR="00E168D1" w:rsidTr="00E168D1">
        <w:tc>
          <w:tcPr>
            <w:tcW w:w="2136" w:type="dxa"/>
          </w:tcPr>
          <w:p w:rsidR="00E168D1" w:rsidRDefault="0001624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4E"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2136" w:type="dxa"/>
          </w:tcPr>
          <w:p w:rsidR="00E168D1" w:rsidRDefault="0001624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4E">
              <w:rPr>
                <w:rFonts w:ascii="Times New Roman" w:hAnsi="Times New Roman" w:cs="Times New Roman"/>
                <w:sz w:val="24"/>
                <w:szCs w:val="24"/>
              </w:rPr>
              <w:t>Уменьшение боли через 2 часа</w:t>
            </w:r>
          </w:p>
        </w:tc>
        <w:tc>
          <w:tcPr>
            <w:tcW w:w="2136" w:type="dxa"/>
          </w:tcPr>
          <w:p w:rsidR="00E168D1" w:rsidRDefault="0001624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4E">
              <w:rPr>
                <w:rFonts w:ascii="Times New Roman" w:hAnsi="Times New Roman" w:cs="Times New Roman"/>
                <w:sz w:val="24"/>
                <w:szCs w:val="24"/>
              </w:rPr>
              <w:t>Полное купирование через 2 часа</w:t>
            </w:r>
          </w:p>
        </w:tc>
        <w:tc>
          <w:tcPr>
            <w:tcW w:w="2137" w:type="dxa"/>
          </w:tcPr>
          <w:p w:rsidR="00E168D1" w:rsidRDefault="0001624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4E">
              <w:rPr>
                <w:rFonts w:ascii="Times New Roman" w:hAnsi="Times New Roman" w:cs="Times New Roman"/>
                <w:sz w:val="24"/>
                <w:szCs w:val="24"/>
              </w:rPr>
              <w:t>Продолжительность эффекта</w:t>
            </w:r>
          </w:p>
        </w:tc>
        <w:tc>
          <w:tcPr>
            <w:tcW w:w="2137" w:type="dxa"/>
          </w:tcPr>
          <w:p w:rsidR="00E168D1" w:rsidRDefault="0001624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4E">
              <w:rPr>
                <w:rFonts w:ascii="Times New Roman" w:hAnsi="Times New Roman" w:cs="Times New Roman"/>
                <w:sz w:val="24"/>
                <w:szCs w:val="24"/>
              </w:rPr>
              <w:t>Переносимость</w:t>
            </w:r>
          </w:p>
        </w:tc>
      </w:tr>
      <w:tr w:rsidR="00E168D1" w:rsidTr="00E168D1">
        <w:tc>
          <w:tcPr>
            <w:tcW w:w="2136" w:type="dxa"/>
          </w:tcPr>
          <w:p w:rsidR="00E168D1" w:rsidRDefault="0001624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4E">
              <w:rPr>
                <w:rFonts w:ascii="Times New Roman" w:hAnsi="Times New Roman" w:cs="Times New Roman"/>
                <w:sz w:val="24"/>
                <w:szCs w:val="24"/>
              </w:rPr>
              <w:t>Суматриптан 100 мг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168D1" w:rsidTr="00E168D1">
        <w:tc>
          <w:tcPr>
            <w:tcW w:w="2136" w:type="dxa"/>
          </w:tcPr>
          <w:p w:rsidR="00E168D1" w:rsidRDefault="0001624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Суматриптан 5</w:t>
            </w:r>
            <w:r w:rsidRPr="0001624E">
              <w:rPr>
                <w:rFonts w:ascii="Times New Roman" w:hAnsi="Times New Roman" w:cs="Times New Roman"/>
                <w:sz w:val="24"/>
                <w:szCs w:val="24"/>
              </w:rPr>
              <w:t>0 мг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=/–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168D1" w:rsidTr="00E168D1">
        <w:tc>
          <w:tcPr>
            <w:tcW w:w="2136" w:type="dxa"/>
          </w:tcPr>
          <w:p w:rsidR="00E168D1" w:rsidRDefault="00812376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76">
              <w:rPr>
                <w:rFonts w:ascii="Times New Roman" w:hAnsi="Times New Roman" w:cs="Times New Roman"/>
                <w:sz w:val="24"/>
                <w:szCs w:val="24"/>
              </w:rPr>
              <w:t>Золмитриптан 2,5 мг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168D1" w:rsidTr="00E168D1">
        <w:tc>
          <w:tcPr>
            <w:tcW w:w="2136" w:type="dxa"/>
          </w:tcPr>
          <w:p w:rsidR="00E168D1" w:rsidRDefault="00812376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Золмитриптан </w:t>
            </w:r>
            <w:r w:rsidRPr="00812376">
              <w:rPr>
                <w:rFonts w:ascii="Times New Roman" w:hAnsi="Times New Roman" w:cs="Times New Roman"/>
                <w:sz w:val="24"/>
                <w:szCs w:val="24"/>
              </w:rPr>
              <w:t>5 мг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168D1" w:rsidTr="00E168D1">
        <w:tc>
          <w:tcPr>
            <w:tcW w:w="2136" w:type="dxa"/>
          </w:tcPr>
          <w:p w:rsidR="00E168D1" w:rsidRDefault="0059226C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6C">
              <w:rPr>
                <w:rFonts w:ascii="Times New Roman" w:hAnsi="Times New Roman" w:cs="Times New Roman"/>
                <w:sz w:val="24"/>
                <w:szCs w:val="24"/>
              </w:rPr>
              <w:t>Элетриптан 40 мг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168D1" w:rsidTr="00E168D1">
        <w:tc>
          <w:tcPr>
            <w:tcW w:w="2136" w:type="dxa"/>
          </w:tcPr>
          <w:p w:rsidR="00E168D1" w:rsidRDefault="0059226C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Элетриптан 8</w:t>
            </w:r>
            <w:r w:rsidRPr="0059226C">
              <w:rPr>
                <w:rFonts w:ascii="Times New Roman" w:hAnsi="Times New Roman" w:cs="Times New Roman"/>
                <w:sz w:val="24"/>
                <w:szCs w:val="24"/>
              </w:rPr>
              <w:t>0 мг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8D1" w:rsidTr="00E168D1">
        <w:tc>
          <w:tcPr>
            <w:tcW w:w="2136" w:type="dxa"/>
          </w:tcPr>
          <w:p w:rsidR="00E168D1" w:rsidRDefault="006D41DD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DD">
              <w:rPr>
                <w:rFonts w:ascii="Times New Roman" w:hAnsi="Times New Roman" w:cs="Times New Roman"/>
                <w:sz w:val="24"/>
                <w:szCs w:val="24"/>
              </w:rPr>
              <w:t>Наратриптан 2,5 мг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E168D1" w:rsidRDefault="002964EE" w:rsidP="00E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</w:tbl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lastRenderedPageBreak/>
        <w:t>Примечания: = отсутствие различий с суматриптаном (100 мг); + лучше суматриптана (100 мг); – хуже суматриптана (100 мг).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Таким образом, эффективность триптанов зависит от фармакодинамических и фармакокинетических параметров препаратов, а также способа их введения. Сравнение триптанов для приема внутрь свидетельствует о фармакологических и клинических преимуществах элетриптана в дозе 80 мг. Европейская Федерация Неврологических Сообществ (EFNS) рекомендует для лечения мигрени применять триптаны, эффективность которых доказана в рандомизированных двойных слепых, плацебо контролируемых исследованиях. Из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в России -  это суматриптан, золмитриптан, наратриптан и элетриптан.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>Комбинированная фармакотерапия боли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На сегодняшний день большинство руководств по лечению боли, базирующихся на принципах доказательной медицины, предлагает ступенчатый подход к анальгетической терапии, чаще в виде монотерапии тем или иным средством с заменой его в случае неэффективности на другой, альтернативный препарат. В тоже время в реальной клинической практике многие пациенты с болью получают одновременно несколько лекарственных средств, несмотря на отсутствие данных, подтверждающих пользу таких сочетаний. Назначение комбинированной фармакотерапии часто позволяет повышать эффективность лечения при меньших дозировках препаратов и частоте побочных эффектов. С другой стороны, нужно отдавать отчет, что в ряде случаев полифармакотерапия может приводить к повышению риска лекарственных взаимодействий и стоимости, суммации побочных эффектов, а также к снижению эффективности лечения и приверженности пациента к терапии.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последнее время появилось некоторое количество исследований, доказывающих эффективность и безопасность различных комбинаций уже известных анальгетиков. Наиболее исследованной является комбинация опиоида и ацетаминофена, которая вошла даже в схему ступенчатой терапии, рекомендованной ВОЗ для умеренной и сильной боли.  Существуют доказательные плацебо-контролируемые исследования комбинаций различных других НПВП с трамадолом и опиоидами. В большинстве исследований такие сочетания более эффективно купировали боль по сравнению с терапией каждым препаратом в отдельности, при этом частота и выраженность побочных эффектов оставались минимальными. В одном исследовании использовалась комбинация трамадол/ацетаминофен, к этой терапии добавляли дополнительно ещё и ЦОГ-2 ингибитор (целекоксиб или эторикоксиб). Оказалось, что такое тройное сочетание более эффективно купирует боль при остеоартрозе и улучшает индекс повседневной активности больных, чем применение ЦОГ-2 ингибитора и комбинации трамадол/ацетаминофен отдельно. Описано также исследование, где сочетали применение напроксена и ацетаминофена, с большей анальгетической эффективностью такой комбинации и минимальными нежелательными явлениями со стороны ЖКТ.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трех рандомизированных плацебо-контролируемых исследованиях при невропатической боли было показано, что сочетание габапентин/морфин, габапентин /оксикодон и габапентин/нортриптилин  превосходит каждый из этих препаратов в отдельности по силе </w:t>
      </w:r>
      <w:r w:rsidRPr="00E168D1">
        <w:rPr>
          <w:rFonts w:ascii="Times New Roman" w:hAnsi="Times New Roman" w:cs="Times New Roman"/>
          <w:sz w:val="24"/>
          <w:szCs w:val="24"/>
        </w:rPr>
        <w:lastRenderedPageBreak/>
        <w:t>анальгетического эффекта, при этом дозы препаратов были ниже, чем при монотерапии. Также доказала свою эффективность комбинация прегабалин/оксикодон у больных со смешанной невропатической болью. В ещё одной работе, где также участвовали пациенты с невропатической болью, рефрактерные к терапии габапентином, было продемонстрировано превосходство сочетания габапентина и венлафаксина над монотерапией габапентином.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12-недельном, рандомизированном проспективном исследовании с участием 36 пациентов с хронической болью в спине доказана эффективность сочетания  прегабалин/ целекоксиб по сравнению с монотерапией. При этом наиболее эффективной данная комбинация оказалась у пациентов, имевших смешанную боль с преобладанием невропатического компонента, подтвержденного с помощью Лидсской шкалы оценки.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одном исследовании с перекрестным двухступенчатым дизайном, 25 больных с постгерпетической невралгией, в течение 4 недель остававшихся нечувствительными к монотерапии прегабалином или 5% лидокаином, в дальнейшем в течение 8 недель получали комбинацию этих препаратов. Такая комбинация оказалась более действенной, чем каждый из препаратов в отдельности.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то же время опубликованы исследования, где комбинированная терапия оказалась неэффективна в сравнении с монотерапией, например: ибупрофен в сочетании с альпразоламом при фибромиалгии, морфин и нортриптилин 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поясничной радикулопатии.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последнее время активно обсуждается и изучается возможность и целесообразность комбинированного использования НПВП и триптана для лечения мигрени. Результаты проведенного в 2005 году исследования показали, что фиксированная комбинация суматриптана (50 мг) и напроксена натрия (500 мг) более эффективна при купировании приступа мигрени, чем монотерапия этими препаратами. Головная боль через 2 часа уменьшалась значительно больше у пациентов, принимавших фиксированную комбинацию суматриптана с напроксеном (65%), чем у больных получавших монотерапию суматриптаном (49%) или напроксеном (46%) (P&lt;0.01). Полное купирование головной боли в этом исследовании зарегистрировано у 29 % принимавших фиксированную комбинацию сумартриптана и напроксена, 25% принимавших суматриптан и 17% принимавших напроксен (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>&lt;0,001).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Сравнительная эффективность ризатриптана (10 мг) и его комбинированное применение с рофекоксибом (25 мг) была изучена у 56 пациентов с мигренью. В этом открытом исследовании не было показано статистически значимой разницы между группами лечения в отношении купирования боли и сопутствующих симптомов тошноты, рвоты, свет</w:t>
      </w:r>
      <w:proofErr w:type="gramStart"/>
      <w:r w:rsidRPr="00E168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68D1">
        <w:rPr>
          <w:rFonts w:ascii="Times New Roman" w:hAnsi="Times New Roman" w:cs="Times New Roman"/>
          <w:sz w:val="24"/>
          <w:szCs w:val="24"/>
        </w:rPr>
        <w:t xml:space="preserve"> и звукобоязни. Однако число пациентов c рецидивами головной боли после её удачного купирования было достоверно (p&lt;0.001) меньшим в группе больных принимавших комбинацию рофекоксиба и ризатриптана (20%), чем в группе принимавших только ризатриптан (53%). Авторы не обнаружили различий между группами в частоте развития побочных эффектов.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Еще одно исследование было посвящено сравнительной эффективности ризатриптана (10 мг) и его комбинации с рофекоксибом (50 мг) и толфенамовой кислотой (200 мг) при лечении шести последовательных приступов мигрени у 45 пациентов. Полное купирование боли через 2 часа было зарегистрировано у 37,9% больных получавших монотерапию ризатриптаном, у 40,6% - комбинированное лечение ризатриптаном и толфенамовой кислотой и у 62,9% комбинированное лечение ризатриптаном и рофекоксибом. Однако через 4 часа после примененного лечения различий между группами уже не было. Число случаев возврата мигрени после удачного купирования было меньшим при комбинированном применении триптана с НПВП (15.4% для комбинации с рофекоксибом и 7.7% для комбинации с толфенамовой кислотой), чем при монотерапии ризатриптаном (50%).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В 2007 году было закончено исследование, подтвердившее высокую эффективность фиксированной комбинации суматриптана (85 мг) и напроксена (500 мг) при лечении приступа мигрени. Авторы этих и других исследований предполагают, что преимущество комбинации триптана и НПВП обусловлено комплексным действием этих препаратов на различные механизмы патогенеза приступа мигрени, а также различиями в фармакокинетике этих классов препаратов. Благодаря комбинированному применению НПВП и триптана удаётся сократить время наступления анальгезии и предупредить рецидив мигрени после её купирования.</w:t>
      </w:r>
    </w:p>
    <w:p w:rsidR="00E168D1" w:rsidRPr="00E168D1" w:rsidRDefault="00E168D1" w:rsidP="00E168D1">
      <w:pPr>
        <w:rPr>
          <w:rFonts w:ascii="Times New Roman" w:hAnsi="Times New Roman" w:cs="Times New Roman"/>
          <w:sz w:val="24"/>
          <w:szCs w:val="24"/>
        </w:rPr>
      </w:pPr>
    </w:p>
    <w:p w:rsidR="00E168D1" w:rsidRPr="005805BF" w:rsidRDefault="00E168D1" w:rsidP="00E168D1">
      <w:pPr>
        <w:rPr>
          <w:rFonts w:ascii="Times New Roman" w:hAnsi="Times New Roman" w:cs="Times New Roman"/>
          <w:sz w:val="24"/>
          <w:szCs w:val="24"/>
        </w:rPr>
      </w:pPr>
      <w:r w:rsidRPr="00E168D1">
        <w:rPr>
          <w:rFonts w:ascii="Times New Roman" w:hAnsi="Times New Roman" w:cs="Times New Roman"/>
          <w:sz w:val="24"/>
          <w:szCs w:val="24"/>
        </w:rPr>
        <w:t xml:space="preserve"> Сегодня очевидна необходимость проведения дальнейших исследований с целью выявления оптимально эффективных сочетаний лекарственных препаратов, подбора доз и наиболее безопасных комбинаций,  а также  для оценки фармако-экономических аспектов терапии.</w:t>
      </w:r>
    </w:p>
    <w:sectPr w:rsidR="00E168D1" w:rsidRPr="005805BF" w:rsidSect="00580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30"/>
    <w:rsid w:val="0001624E"/>
    <w:rsid w:val="00077B15"/>
    <w:rsid w:val="000C6A10"/>
    <w:rsid w:val="000F5B6C"/>
    <w:rsid w:val="001B17D6"/>
    <w:rsid w:val="001C09E6"/>
    <w:rsid w:val="0026297F"/>
    <w:rsid w:val="002902D5"/>
    <w:rsid w:val="002964EE"/>
    <w:rsid w:val="00353ED5"/>
    <w:rsid w:val="00397524"/>
    <w:rsid w:val="00410B9B"/>
    <w:rsid w:val="00450CD8"/>
    <w:rsid w:val="0045174D"/>
    <w:rsid w:val="0046779E"/>
    <w:rsid w:val="004C220A"/>
    <w:rsid w:val="00523A36"/>
    <w:rsid w:val="00550A14"/>
    <w:rsid w:val="00567977"/>
    <w:rsid w:val="005769BC"/>
    <w:rsid w:val="005805BF"/>
    <w:rsid w:val="0059226C"/>
    <w:rsid w:val="005B6CFB"/>
    <w:rsid w:val="005C448B"/>
    <w:rsid w:val="006A4378"/>
    <w:rsid w:val="006B02C3"/>
    <w:rsid w:val="006B6B1B"/>
    <w:rsid w:val="006D2B4C"/>
    <w:rsid w:val="006D41DD"/>
    <w:rsid w:val="006D5230"/>
    <w:rsid w:val="006E2875"/>
    <w:rsid w:val="006F6DC9"/>
    <w:rsid w:val="007B6563"/>
    <w:rsid w:val="00812376"/>
    <w:rsid w:val="00872DFC"/>
    <w:rsid w:val="00947630"/>
    <w:rsid w:val="00976976"/>
    <w:rsid w:val="009A32AA"/>
    <w:rsid w:val="009B6668"/>
    <w:rsid w:val="00A05DFF"/>
    <w:rsid w:val="00A34091"/>
    <w:rsid w:val="00A85B77"/>
    <w:rsid w:val="00AC41CD"/>
    <w:rsid w:val="00B03242"/>
    <w:rsid w:val="00B5587B"/>
    <w:rsid w:val="00B91A8D"/>
    <w:rsid w:val="00BF4D1E"/>
    <w:rsid w:val="00C30AB7"/>
    <w:rsid w:val="00C35A2D"/>
    <w:rsid w:val="00CA138A"/>
    <w:rsid w:val="00D7240B"/>
    <w:rsid w:val="00E168D1"/>
    <w:rsid w:val="00E2552E"/>
    <w:rsid w:val="00E27113"/>
    <w:rsid w:val="00E44F3D"/>
    <w:rsid w:val="00E45F8D"/>
    <w:rsid w:val="00EE5A31"/>
    <w:rsid w:val="00F1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32</Pages>
  <Words>13083</Words>
  <Characters>74576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2011-11-16T05:58:00Z</dcterms:created>
  <dcterms:modified xsi:type="dcterms:W3CDTF">2011-11-17T11:38:00Z</dcterms:modified>
</cp:coreProperties>
</file>