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6A" w:rsidRPr="001F2FC2" w:rsidRDefault="0074196A" w:rsidP="0074196A">
      <w:pPr>
        <w:rPr>
          <w:rFonts w:ascii="Times New Roman" w:hAnsi="Times New Roman" w:cs="Times New Roman"/>
          <w:b/>
          <w:sz w:val="28"/>
          <w:szCs w:val="28"/>
        </w:rPr>
      </w:pPr>
      <w:r w:rsidRPr="001F2FC2">
        <w:rPr>
          <w:rFonts w:ascii="Times New Roman" w:hAnsi="Times New Roman" w:cs="Times New Roman"/>
          <w:b/>
          <w:sz w:val="28"/>
          <w:szCs w:val="28"/>
        </w:rPr>
        <w:t>ГЕТЕРОГЕННЫЕ КОЛЛОИДНЫЕ ПЛАЗМОЗАМЕЩАЮЩИЕ РАСТВОРЫ: НАСТОЯЩЕЕ И БУДУЩЕЕ</w:t>
      </w:r>
      <w:r w:rsidR="001F2FC2">
        <w:rPr>
          <w:rFonts w:ascii="Times New Roman" w:hAnsi="Times New Roman" w:cs="Times New Roman"/>
          <w:b/>
          <w:sz w:val="28"/>
          <w:szCs w:val="28"/>
        </w:rPr>
        <w:t>.</w:t>
      </w:r>
    </w:p>
    <w:p w:rsidR="0074196A" w:rsidRPr="001F2FC2" w:rsidRDefault="001F2FC2" w:rsidP="0074196A">
      <w:pPr>
        <w:rPr>
          <w:rFonts w:ascii="Times New Roman" w:hAnsi="Times New Roman" w:cs="Times New Roman"/>
        </w:rPr>
      </w:pPr>
      <w:r w:rsidRPr="001F2FC2">
        <w:rPr>
          <w:rFonts w:ascii="Times New Roman" w:hAnsi="Times New Roman" w:cs="Times New Roman"/>
        </w:rPr>
        <w:t xml:space="preserve">Свиридов С.В. </w:t>
      </w:r>
      <w:r w:rsidR="0074196A" w:rsidRPr="001F2FC2">
        <w:rPr>
          <w:rFonts w:ascii="Times New Roman" w:hAnsi="Times New Roman" w:cs="Times New Roman"/>
        </w:rPr>
        <w:t>Кафедра анестезиологии и реаниматологии РГМУ, Москва</w:t>
      </w:r>
      <w:r>
        <w:rPr>
          <w:rFonts w:ascii="Times New Roman" w:hAnsi="Times New Roman" w:cs="Times New Roman"/>
        </w:rPr>
        <w:t>.</w:t>
      </w:r>
    </w:p>
    <w:p w:rsidR="0074196A" w:rsidRPr="0074196A" w:rsidRDefault="0074196A" w:rsidP="0074196A">
      <w:pPr>
        <w:rPr>
          <w:rFonts w:ascii="Times New Roman" w:hAnsi="Times New Roman" w:cs="Times New Roman"/>
          <w:sz w:val="28"/>
          <w:szCs w:val="28"/>
        </w:rPr>
      </w:pPr>
      <w:r w:rsidRPr="0074196A">
        <w:rPr>
          <w:rFonts w:ascii="Times New Roman" w:hAnsi="Times New Roman" w:cs="Times New Roman"/>
          <w:sz w:val="28"/>
          <w:szCs w:val="28"/>
        </w:rPr>
        <w:t xml:space="preserve">Создание коллоидных плазмозамещающих растворов (КПР) можно, без преувеличения, отнести к разряду выдающихся изобретений ХХ века. В настоящее время трудно себе представить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терапию при травматическом шоке, острой кровопотере и других экстремальных состояниях без растворов декстрана, желатины или крахмала, препаратов, действие которых направлено на восполнение дефицита объема циркулирующей крови (ОЦК), увеличение коллоидн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осмотического давления (КОД), нормализацию центральной гемодинамики и микроциркуляции. Современный фармакологический рынок гетерогенных КПР насчитывает несколько десятков различных препаратов, выпускаемых, как зарубежными фармакологическими фирмами, так и отечественными производителями. Большой выбор КПР предоставляет клиницистам более широкие возможности для проведения интенсивной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терапии, позволяет осуществлять индивидуальный выбор к их назначению. В этой связи практическому врачу необходима своевременная и целенаправленная информация о фармакологических особенностях и клинических возможностях новых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плазмозаменителей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>.</w:t>
      </w:r>
    </w:p>
    <w:p w:rsidR="0074196A" w:rsidRPr="0074196A" w:rsidRDefault="001F2FC2" w:rsidP="0074196A">
      <w:pPr>
        <w:rPr>
          <w:rFonts w:ascii="Times New Roman" w:hAnsi="Times New Roman" w:cs="Times New Roman"/>
          <w:sz w:val="28"/>
          <w:szCs w:val="28"/>
        </w:rPr>
      </w:pPr>
      <w:r w:rsidRPr="00816465">
        <w:rPr>
          <w:rFonts w:ascii="Times New Roman" w:hAnsi="Times New Roman" w:cs="Times New Roman"/>
          <w:b/>
          <w:sz w:val="28"/>
          <w:szCs w:val="28"/>
        </w:rPr>
        <w:t xml:space="preserve">ДЕКСТРАНЫ.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4196A" w:rsidRPr="0074196A">
        <w:rPr>
          <w:rFonts w:ascii="Times New Roman" w:hAnsi="Times New Roman" w:cs="Times New Roman"/>
          <w:sz w:val="28"/>
          <w:szCs w:val="28"/>
        </w:rPr>
        <w:t xml:space="preserve">Со времени разработки технологии получения растворов декстрана и применения их в клинике прошло более 55 лет. В нашей стране первые работы по созданию данного класса препаратов были проведены в Ленинградском НИИ гематологии и переливания крови в 1952 году. Созданный препарат получил название </w:t>
      </w:r>
      <w:proofErr w:type="spellStart"/>
      <w:r w:rsidR="0074196A" w:rsidRPr="0074196A">
        <w:rPr>
          <w:rFonts w:ascii="Times New Roman" w:hAnsi="Times New Roman" w:cs="Times New Roman"/>
          <w:sz w:val="28"/>
          <w:szCs w:val="28"/>
        </w:rPr>
        <w:t>синкол</w:t>
      </w:r>
      <w:proofErr w:type="spellEnd"/>
      <w:r w:rsidR="0074196A" w:rsidRPr="00741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96A" w:rsidRPr="0074196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74196A" w:rsidRPr="0074196A">
        <w:rPr>
          <w:rFonts w:ascii="Times New Roman" w:hAnsi="Times New Roman" w:cs="Times New Roman"/>
          <w:sz w:val="28"/>
          <w:szCs w:val="28"/>
        </w:rPr>
        <w:t>5 ]. Несколько позже, в 1954 г, сотрудниками Центрального НИИ гематологии и переливания крови был синтезирован хо</w:t>
      </w:r>
      <w:r w:rsidR="00BA1A4F">
        <w:rPr>
          <w:rFonts w:ascii="Times New Roman" w:hAnsi="Times New Roman" w:cs="Times New Roman"/>
          <w:sz w:val="28"/>
          <w:szCs w:val="28"/>
        </w:rPr>
        <w:t xml:space="preserve">рошо всем известный </w:t>
      </w:r>
      <w:proofErr w:type="spellStart"/>
      <w:r w:rsidR="00BA1A4F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="00BA1A4F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74196A" w:rsidRPr="0074196A">
        <w:rPr>
          <w:rFonts w:ascii="Times New Roman" w:hAnsi="Times New Roman" w:cs="Times New Roman"/>
          <w:sz w:val="28"/>
          <w:szCs w:val="28"/>
        </w:rPr>
        <w:t xml:space="preserve">Напомним, что декстран является полимером глюкозы и продуцируется бактериями </w:t>
      </w:r>
      <w:proofErr w:type="spellStart"/>
      <w:r w:rsidR="0074196A" w:rsidRPr="0074196A">
        <w:rPr>
          <w:rFonts w:ascii="Times New Roman" w:hAnsi="Times New Roman" w:cs="Times New Roman"/>
          <w:sz w:val="28"/>
          <w:szCs w:val="28"/>
        </w:rPr>
        <w:t>Leuconostoc</w:t>
      </w:r>
      <w:proofErr w:type="spellEnd"/>
      <w:r w:rsidR="0074196A" w:rsidRPr="0074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6A" w:rsidRPr="0074196A">
        <w:rPr>
          <w:rFonts w:ascii="Times New Roman" w:hAnsi="Times New Roman" w:cs="Times New Roman"/>
          <w:sz w:val="28"/>
          <w:szCs w:val="28"/>
        </w:rPr>
        <w:t>Mesenteroides</w:t>
      </w:r>
      <w:proofErr w:type="spellEnd"/>
      <w:r w:rsidR="0074196A" w:rsidRPr="0074196A">
        <w:rPr>
          <w:rFonts w:ascii="Times New Roman" w:hAnsi="Times New Roman" w:cs="Times New Roman"/>
          <w:sz w:val="28"/>
          <w:szCs w:val="28"/>
        </w:rPr>
        <w:t xml:space="preserve"> при выращивании их на среде, содержащей сахарозу, например, свекольный сок. Относительная молекулярная масса (</w:t>
      </w:r>
      <w:proofErr w:type="gramStart"/>
      <w:r w:rsidR="0074196A" w:rsidRPr="0074196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74196A" w:rsidRPr="007419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196A" w:rsidRPr="0074196A">
        <w:rPr>
          <w:rFonts w:ascii="Times New Roman" w:hAnsi="Times New Roman" w:cs="Times New Roman"/>
          <w:sz w:val="28"/>
          <w:szCs w:val="28"/>
        </w:rPr>
        <w:t>нативного</w:t>
      </w:r>
      <w:proofErr w:type="spellEnd"/>
      <w:r w:rsidR="0074196A" w:rsidRPr="0074196A">
        <w:rPr>
          <w:rFonts w:ascii="Times New Roman" w:hAnsi="Times New Roman" w:cs="Times New Roman"/>
          <w:sz w:val="28"/>
          <w:szCs w:val="28"/>
        </w:rPr>
        <w:t xml:space="preserve"> декстрана достигает сотен миллионов дальтон. Далее </w:t>
      </w:r>
      <w:proofErr w:type="spellStart"/>
      <w:r w:rsidR="0074196A" w:rsidRPr="0074196A"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 w:rsidR="0074196A" w:rsidRPr="0074196A">
        <w:rPr>
          <w:rFonts w:ascii="Times New Roman" w:hAnsi="Times New Roman" w:cs="Times New Roman"/>
          <w:sz w:val="28"/>
          <w:szCs w:val="28"/>
        </w:rPr>
        <w:t xml:space="preserve"> декстран подвергается гидролизу до получения препарата с заданным молекулярно-массовым распределением. Именно критерий молекулярно-массового распределения лежит в основе подразделения </w:t>
      </w:r>
      <w:proofErr w:type="spellStart"/>
      <w:r w:rsidR="0074196A" w:rsidRPr="0074196A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="0074196A" w:rsidRPr="0074196A">
        <w:rPr>
          <w:rFonts w:ascii="Times New Roman" w:hAnsi="Times New Roman" w:cs="Times New Roman"/>
          <w:sz w:val="28"/>
          <w:szCs w:val="28"/>
        </w:rPr>
        <w:t xml:space="preserve"> сред декстранов на две основные группы:</w:t>
      </w:r>
    </w:p>
    <w:p w:rsidR="0074196A" w:rsidRPr="0074196A" w:rsidRDefault="0074196A" w:rsidP="0074196A">
      <w:pPr>
        <w:rPr>
          <w:rFonts w:ascii="Times New Roman" w:hAnsi="Times New Roman" w:cs="Times New Roman"/>
          <w:sz w:val="28"/>
          <w:szCs w:val="28"/>
        </w:rPr>
      </w:pPr>
      <w:r w:rsidRPr="0074196A">
        <w:rPr>
          <w:rFonts w:ascii="Times New Roman" w:hAnsi="Times New Roman" w:cs="Times New Roman"/>
          <w:sz w:val="28"/>
          <w:szCs w:val="28"/>
        </w:rPr>
        <w:t xml:space="preserve">I-группа - низкомолекулярные декстраны, имеющие среднюю молекулярную массу </w:t>
      </w:r>
      <w:r w:rsidRPr="001B1862">
        <w:rPr>
          <w:rFonts w:ascii="Times New Roman" w:hAnsi="Times New Roman" w:cs="Times New Roman"/>
          <w:b/>
          <w:sz w:val="28"/>
          <w:szCs w:val="28"/>
        </w:rPr>
        <w:t>30000-40000</w:t>
      </w:r>
      <w:proofErr w:type="gramStart"/>
      <w:r w:rsidRPr="001B1862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>;</w:t>
      </w:r>
    </w:p>
    <w:p w:rsidR="0074196A" w:rsidRPr="0074196A" w:rsidRDefault="0074196A" w:rsidP="0074196A">
      <w:pPr>
        <w:rPr>
          <w:rFonts w:ascii="Times New Roman" w:hAnsi="Times New Roman" w:cs="Times New Roman"/>
          <w:sz w:val="28"/>
          <w:szCs w:val="28"/>
        </w:rPr>
      </w:pPr>
      <w:r w:rsidRPr="0074196A">
        <w:rPr>
          <w:rFonts w:ascii="Times New Roman" w:hAnsi="Times New Roman" w:cs="Times New Roman"/>
          <w:sz w:val="28"/>
          <w:szCs w:val="28"/>
        </w:rPr>
        <w:t xml:space="preserve">II-группа -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среднемолекулярные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декстраны, имеющие среднюю молекулярную массу </w:t>
      </w:r>
      <w:r w:rsidRPr="001B1862">
        <w:rPr>
          <w:rFonts w:ascii="Times New Roman" w:hAnsi="Times New Roman" w:cs="Times New Roman"/>
          <w:b/>
          <w:sz w:val="28"/>
          <w:szCs w:val="28"/>
        </w:rPr>
        <w:t>50000-70000</w:t>
      </w:r>
      <w:r w:rsidRPr="0074196A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A21027" w:rsidRDefault="0074196A" w:rsidP="0074196A">
      <w:pPr>
        <w:rPr>
          <w:rFonts w:ascii="Times New Roman" w:hAnsi="Times New Roman" w:cs="Times New Roman"/>
          <w:sz w:val="28"/>
          <w:szCs w:val="28"/>
        </w:rPr>
      </w:pPr>
      <w:r w:rsidRPr="0074196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зарубежные и отечественные препараты декстрана существенно отличаются от тех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сред, которые применялись в клинической практике в 70-х годах. По сравнению с ними, во время производства данных растворов значительно улучшилась их очистка от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иммуногенных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инградиентов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микробного продуцента, что позволило снизить общее число побочных реакций на декстран ниже уровня реакции на альбумин 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4 ]. В тоже время данный клинический аспект применения декстранов сохраняет свою актуальность и по настоящий день. Примерно у 60-70% пациентов на фоне парентерального введения полисахаридов сохраняется вероятность образования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иммунокомплексов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, как следствие реакции антиген-антитело. [9;10]. Учитывая данное обстоятельство, с целью целенаправленной профилактики декстран-индуцированных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анафилактоидных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/анафилактических реакций рядом фирм были разработаны препараты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моновалентного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гаптен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-декстрана, например,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моновалентный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декстран-</w:t>
      </w:r>
      <w:r w:rsidR="00BA1A4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BA1A4F">
        <w:rPr>
          <w:rFonts w:ascii="Times New Roman" w:hAnsi="Times New Roman" w:cs="Times New Roman"/>
          <w:sz w:val="28"/>
          <w:szCs w:val="28"/>
        </w:rPr>
        <w:t>Fresenius</w:t>
      </w:r>
      <w:proofErr w:type="spellEnd"/>
      <w:r w:rsidR="00BA1A4F">
        <w:rPr>
          <w:rFonts w:ascii="Times New Roman" w:hAnsi="Times New Roman" w:cs="Times New Roman"/>
          <w:sz w:val="28"/>
          <w:szCs w:val="28"/>
        </w:rPr>
        <w:t xml:space="preserve"> с ММ равной 1000 Д.         </w:t>
      </w:r>
      <w:r w:rsidRPr="0074196A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моновалентн</w:t>
      </w:r>
      <w:r w:rsidR="00294B76">
        <w:rPr>
          <w:rFonts w:ascii="Times New Roman" w:hAnsi="Times New Roman" w:cs="Times New Roman"/>
          <w:sz w:val="28"/>
          <w:szCs w:val="28"/>
        </w:rPr>
        <w:t>о</w:t>
      </w:r>
      <w:r w:rsidRPr="007419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декстрана-1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Fresenius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рекомендуется следующая методика его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пременения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гаптен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-декстран вводится перед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инфузиями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низкомолекулярных и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среднемолекулярных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декстранов в дозе 20 мл в течени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1-2 минут с целью блокирования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антидекстрановых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антител. Если декстран-40 или декстран-70 применяется несколько раз в сутки или в течени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длительного времени, то достаточно одной предварительной инъекции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моновалентного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декстрана в приведенной выше дозировке до первой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если интервал между двумя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инфузиями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составляет 48 часов и более, то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моновалентный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декстран целесообразно</w:t>
      </w:r>
      <w:r w:rsidR="00BA1A4F">
        <w:rPr>
          <w:rFonts w:ascii="Times New Roman" w:hAnsi="Times New Roman" w:cs="Times New Roman"/>
          <w:sz w:val="28"/>
          <w:szCs w:val="28"/>
        </w:rPr>
        <w:t xml:space="preserve"> вводить перед каждой </w:t>
      </w:r>
      <w:proofErr w:type="spellStart"/>
      <w:r w:rsidR="00BA1A4F">
        <w:rPr>
          <w:rFonts w:ascii="Times New Roman" w:hAnsi="Times New Roman" w:cs="Times New Roman"/>
          <w:sz w:val="28"/>
          <w:szCs w:val="28"/>
        </w:rPr>
        <w:t>инфузией</w:t>
      </w:r>
      <w:proofErr w:type="spellEnd"/>
      <w:r w:rsidR="00BA1A4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</w:t>
      </w:r>
      <w:r w:rsidRPr="0074196A">
        <w:rPr>
          <w:rFonts w:ascii="Times New Roman" w:hAnsi="Times New Roman" w:cs="Times New Roman"/>
          <w:sz w:val="28"/>
          <w:szCs w:val="28"/>
        </w:rPr>
        <w:t xml:space="preserve">На протяжении десятков лет декстраны отечественного производства существенно уступали по качеству своим зарубежным аналогам, в особенности по молекулярно-массовому распределению. Примером может служить раствор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полиглюкина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>, молекулярно-массовое распределение которого находилось в широчайшем диапазоне - от 15000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до 150000 Д. Единовременное наличие в растворе, как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высомолекулярных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, так и низкомолекулярных фракций декстрана существенным образом влияло на основные физико-химические свойства препарата. На сегодняшний день, благодаря усовершенствованию технологического процесса 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>разработка и внедрение твердофазного катализатора, позволяющего осуществлять процесс гидролиза декстрана непрерывно и с высокими скоростями) качество отече</w:t>
      </w:r>
      <w:r w:rsidR="00B52B57">
        <w:rPr>
          <w:rFonts w:ascii="Times New Roman" w:hAnsi="Times New Roman" w:cs="Times New Roman"/>
          <w:sz w:val="28"/>
          <w:szCs w:val="28"/>
        </w:rPr>
        <w:t>с</w:t>
      </w:r>
      <w:r w:rsidRPr="0074196A">
        <w:rPr>
          <w:rFonts w:ascii="Times New Roman" w:hAnsi="Times New Roman" w:cs="Times New Roman"/>
          <w:sz w:val="28"/>
          <w:szCs w:val="28"/>
        </w:rPr>
        <w:t xml:space="preserve">твенных декстранов намного улучшилось. Более того, появилась техническая возможность получения декстранов с заданным распределением по ММ 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8 ]. Данный аспект крайне важен для перспективного создания КПР нового поколения </w:t>
      </w:r>
      <w:r w:rsidR="00BA1A4F">
        <w:rPr>
          <w:rFonts w:ascii="Times New Roman" w:hAnsi="Times New Roman" w:cs="Times New Roman"/>
          <w:sz w:val="28"/>
          <w:szCs w:val="28"/>
        </w:rPr>
        <w:t xml:space="preserve">- "селективных" КПР.                    </w:t>
      </w:r>
      <w:r w:rsidRPr="0074196A">
        <w:rPr>
          <w:rFonts w:ascii="Times New Roman" w:hAnsi="Times New Roman" w:cs="Times New Roman"/>
          <w:sz w:val="28"/>
          <w:szCs w:val="28"/>
        </w:rPr>
        <w:t xml:space="preserve">Прямая зависимость между 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декстрана, его влиянием на реологические свойства крови и временем циркуляции в сосудистом русле хорошо известны и изучены. Напомним, что молекулы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полиглюкина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(декстран-70,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макродекс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) оказывают положительное влияние на кровообращение в течени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5-7 часов. Декстраны с ММ 40000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реомакродекс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, декстран-40) обеспечивают большее по выраженности гидродинамическое действие, но в тоже время более кратковременное. </w:t>
      </w:r>
      <w:r w:rsidRPr="0074196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объема плазмы наиболее выражено 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90 мин после введения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реополиглюкина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. Через 6 ч после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содержание декстрана-40 в крови уменьшается примерно в 2 раза. Основной гемодинамический эффект данного класса КПР связан с их способностью связывать и удерживать в сосудистом русле воду. Доказано, что 1 г декстрана связывает 20-25 мл воды, в то время как 1г альбумина способен удерживать только 17 мл. Таким образом, прирост ОЦК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внутривенного вливания раствора декстрана-40 может почти в 2 раза превышать объем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[6;</w:t>
      </w:r>
      <w:r w:rsidR="00BA1A4F">
        <w:rPr>
          <w:rFonts w:ascii="Times New Roman" w:hAnsi="Times New Roman" w:cs="Times New Roman"/>
          <w:sz w:val="28"/>
          <w:szCs w:val="28"/>
        </w:rPr>
        <w:t xml:space="preserve">11].                                                                                                                    </w:t>
      </w:r>
      <w:r w:rsidRPr="0074196A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нежелательных иммунологических реакций на фоне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декстрана уже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упомяналось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выше. Наряду с ними также возможны выраженные 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вязкости крови. Если в нормальной человеческой плазме величина относительной способности</w:t>
      </w:r>
      <w:r w:rsidR="00487D99">
        <w:rPr>
          <w:rFonts w:ascii="Times New Roman" w:hAnsi="Times New Roman" w:cs="Times New Roman"/>
          <w:sz w:val="28"/>
          <w:szCs w:val="28"/>
        </w:rPr>
        <w:t xml:space="preserve"> эритроцитов к агглютинации (ОСЭ</w:t>
      </w:r>
      <w:r w:rsidRPr="0074196A">
        <w:rPr>
          <w:rFonts w:ascii="Times New Roman" w:hAnsi="Times New Roman" w:cs="Times New Roman"/>
          <w:sz w:val="28"/>
          <w:szCs w:val="28"/>
        </w:rPr>
        <w:t>А) равна единице, то при увеличении ММ декстрана ОСЕА быстро возрастает, достигая при ММ 100000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E69F0">
        <w:rPr>
          <w:rFonts w:ascii="Times New Roman" w:hAnsi="Times New Roman" w:cs="Times New Roman"/>
          <w:sz w:val="28"/>
          <w:szCs w:val="28"/>
        </w:rPr>
        <w:t xml:space="preserve"> -</w:t>
      </w:r>
      <w:r w:rsidRPr="0074196A">
        <w:rPr>
          <w:rFonts w:ascii="Times New Roman" w:hAnsi="Times New Roman" w:cs="Times New Roman"/>
          <w:sz w:val="28"/>
          <w:szCs w:val="28"/>
        </w:rPr>
        <w:t xml:space="preserve"> 10. Декстран с очень высокой ММ 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более чем 150 000 Д ) может привести к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аггрегации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крови. В тоже время препараты с ММ от 40000 Д и ниже не увеличива</w:t>
      </w:r>
      <w:r w:rsidR="00C73F4A">
        <w:rPr>
          <w:rFonts w:ascii="Times New Roman" w:hAnsi="Times New Roman" w:cs="Times New Roman"/>
          <w:sz w:val="28"/>
          <w:szCs w:val="28"/>
        </w:rPr>
        <w:t xml:space="preserve">ют скорость </w:t>
      </w:r>
      <w:proofErr w:type="spellStart"/>
      <w:r w:rsidR="00C73F4A">
        <w:rPr>
          <w:rFonts w:ascii="Times New Roman" w:hAnsi="Times New Roman" w:cs="Times New Roman"/>
          <w:sz w:val="28"/>
          <w:szCs w:val="28"/>
        </w:rPr>
        <w:t>агглюцинации</w:t>
      </w:r>
      <w:proofErr w:type="spellEnd"/>
      <w:r w:rsidR="00C73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F4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C73F4A">
        <w:rPr>
          <w:rFonts w:ascii="Times New Roman" w:hAnsi="Times New Roman" w:cs="Times New Roman"/>
          <w:sz w:val="28"/>
          <w:szCs w:val="28"/>
        </w:rPr>
        <w:t xml:space="preserve">2 ].                                                                       </w:t>
      </w:r>
      <w:r w:rsidRPr="0074196A">
        <w:rPr>
          <w:rFonts w:ascii="Times New Roman" w:hAnsi="Times New Roman" w:cs="Times New Roman"/>
          <w:sz w:val="28"/>
          <w:szCs w:val="28"/>
        </w:rPr>
        <w:t xml:space="preserve">Медико-техническое требование, предъявляемое к производству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4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B7">
        <w:rPr>
          <w:rFonts w:ascii="Times New Roman" w:hAnsi="Times New Roman" w:cs="Times New Roman"/>
          <w:sz w:val="28"/>
          <w:szCs w:val="28"/>
        </w:rPr>
        <w:t>полиглю</w:t>
      </w:r>
      <w:r w:rsidRPr="0074196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(декстран-70) и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(декстран-40) представляют собой соответственно 6% и 10% растворы полисахарида на основе 0,9% раствора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, то возможны варианты производства декстранов без хлорида натрия или со специальным обогащением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++,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++, K+,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лактатом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>напр</w:t>
      </w:r>
      <w:r w:rsidR="00D920E3">
        <w:rPr>
          <w:rFonts w:ascii="Times New Roman" w:hAnsi="Times New Roman" w:cs="Times New Roman"/>
          <w:sz w:val="28"/>
          <w:szCs w:val="28"/>
        </w:rPr>
        <w:t>и</w:t>
      </w:r>
      <w:r w:rsidRPr="0074196A">
        <w:rPr>
          <w:rFonts w:ascii="Times New Roman" w:hAnsi="Times New Roman" w:cs="Times New Roman"/>
          <w:sz w:val="28"/>
          <w:szCs w:val="28"/>
        </w:rPr>
        <w:t xml:space="preserve">мер,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Longasteril</w:t>
      </w:r>
      <w:proofErr w:type="spellEnd"/>
      <w:r w:rsidRPr="0074196A">
        <w:rPr>
          <w:rFonts w:ascii="Times New Roman" w:hAnsi="Times New Roman" w:cs="Times New Roman"/>
          <w:sz w:val="28"/>
          <w:szCs w:val="28"/>
        </w:rPr>
        <w:t xml:space="preserve"> - 70 c электролитами) или без хлорида натрия с добавлением 5% и 20% сорбита. В качестве иллюстрации в таблице № 1 приведена сравнительная характеристика д</w:t>
      </w:r>
      <w:r w:rsidR="00F617A0">
        <w:rPr>
          <w:rFonts w:ascii="Times New Roman" w:hAnsi="Times New Roman" w:cs="Times New Roman"/>
          <w:sz w:val="28"/>
          <w:szCs w:val="28"/>
        </w:rPr>
        <w:t xml:space="preserve">вух КПР на основе декстрана-70. </w:t>
      </w:r>
      <w:r w:rsidR="006C1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4196A">
        <w:rPr>
          <w:rFonts w:ascii="Times New Roman" w:hAnsi="Times New Roman" w:cs="Times New Roman"/>
          <w:sz w:val="28"/>
          <w:szCs w:val="28"/>
        </w:rPr>
        <w:t xml:space="preserve">Таблица 1.  </w:t>
      </w:r>
      <w:proofErr w:type="gramStart"/>
      <w:r w:rsidRPr="0074196A">
        <w:rPr>
          <w:rFonts w:ascii="Times New Roman" w:hAnsi="Times New Roman" w:cs="Times New Roman"/>
          <w:sz w:val="28"/>
          <w:szCs w:val="28"/>
        </w:rPr>
        <w:t>Сравнительная</w:t>
      </w:r>
      <w:proofErr w:type="gramEnd"/>
      <w:r w:rsidRPr="0074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6A">
        <w:rPr>
          <w:rFonts w:ascii="Times New Roman" w:hAnsi="Times New Roman" w:cs="Times New Roman"/>
          <w:sz w:val="28"/>
          <w:szCs w:val="28"/>
        </w:rPr>
        <w:t>х</w:t>
      </w:r>
      <w:r w:rsidR="00A96F92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A96F92">
        <w:rPr>
          <w:rFonts w:ascii="Times New Roman" w:hAnsi="Times New Roman" w:cs="Times New Roman"/>
          <w:sz w:val="28"/>
          <w:szCs w:val="28"/>
        </w:rPr>
        <w:t>-ка средне-молекулярных раство</w:t>
      </w:r>
      <w:r w:rsidRPr="0074196A">
        <w:rPr>
          <w:rFonts w:ascii="Times New Roman" w:hAnsi="Times New Roman" w:cs="Times New Roman"/>
          <w:sz w:val="28"/>
          <w:szCs w:val="28"/>
        </w:rPr>
        <w:t>ров декстрана-70.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3559"/>
        <w:gridCol w:w="3567"/>
      </w:tblGrid>
      <w:tr w:rsidR="00BD0903" w:rsidTr="00FF5141">
        <w:tc>
          <w:tcPr>
            <w:tcW w:w="3556" w:type="dxa"/>
          </w:tcPr>
          <w:p w:rsidR="00BD0903" w:rsidRPr="00452B94" w:rsidRDefault="00ED5544" w:rsidP="00856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94">
              <w:rPr>
                <w:rFonts w:ascii="Times New Roman" w:hAnsi="Times New Roman" w:cs="Times New Roman"/>
                <w:b/>
              </w:rPr>
              <w:t>Состав раствора</w:t>
            </w:r>
          </w:p>
        </w:tc>
        <w:tc>
          <w:tcPr>
            <w:tcW w:w="3559" w:type="dxa"/>
          </w:tcPr>
          <w:p w:rsidR="00BD0903" w:rsidRPr="00452B94" w:rsidRDefault="00ED5544" w:rsidP="00856C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2B94">
              <w:rPr>
                <w:rFonts w:ascii="Times New Roman" w:hAnsi="Times New Roman" w:cs="Times New Roman"/>
                <w:b/>
              </w:rPr>
              <w:t>Longasteril</w:t>
            </w:r>
            <w:proofErr w:type="spellEnd"/>
            <w:r w:rsidRPr="00452B94">
              <w:rPr>
                <w:rFonts w:ascii="Times New Roman" w:hAnsi="Times New Roman" w:cs="Times New Roman"/>
                <w:b/>
              </w:rPr>
              <w:t>- 70 с электролитами</w:t>
            </w:r>
          </w:p>
        </w:tc>
        <w:tc>
          <w:tcPr>
            <w:tcW w:w="3567" w:type="dxa"/>
          </w:tcPr>
          <w:p w:rsidR="00BD0903" w:rsidRPr="00452B94" w:rsidRDefault="00ED5544" w:rsidP="00856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94">
              <w:rPr>
                <w:rFonts w:ascii="Times New Roman" w:hAnsi="Times New Roman" w:cs="Times New Roman"/>
                <w:b/>
              </w:rPr>
              <w:t>Longasteril-70 с хлоридом натрия</w:t>
            </w: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Декстран </w:t>
            </w:r>
            <w:proofErr w:type="gram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средняя ММ 70000)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60,0 г</w:t>
            </w:r>
          </w:p>
        </w:tc>
        <w:tc>
          <w:tcPr>
            <w:tcW w:w="3567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60,0 г</w:t>
            </w: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Хлорид натрия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4,96 г</w:t>
            </w:r>
          </w:p>
        </w:tc>
        <w:tc>
          <w:tcPr>
            <w:tcW w:w="3567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9,0 г</w:t>
            </w: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6,16 г</w:t>
            </w:r>
          </w:p>
        </w:tc>
        <w:tc>
          <w:tcPr>
            <w:tcW w:w="3567" w:type="dxa"/>
          </w:tcPr>
          <w:p w:rsidR="00BD0903" w:rsidRPr="004B286B" w:rsidRDefault="00BD0903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Хлорид калия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0,74 г</w:t>
            </w:r>
          </w:p>
        </w:tc>
        <w:tc>
          <w:tcPr>
            <w:tcW w:w="3567" w:type="dxa"/>
          </w:tcPr>
          <w:p w:rsidR="00BD0903" w:rsidRPr="004B286B" w:rsidRDefault="00BD0903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Хлорид кальция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0,36 г</w:t>
            </w:r>
          </w:p>
        </w:tc>
        <w:tc>
          <w:tcPr>
            <w:tcW w:w="3567" w:type="dxa"/>
          </w:tcPr>
          <w:p w:rsidR="00BD0903" w:rsidRPr="004B286B" w:rsidRDefault="00BD0903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Хлорид магния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0,30 г</w:t>
            </w:r>
          </w:p>
        </w:tc>
        <w:tc>
          <w:tcPr>
            <w:tcW w:w="3567" w:type="dxa"/>
          </w:tcPr>
          <w:p w:rsidR="00BD0903" w:rsidRPr="004B286B" w:rsidRDefault="00BD0903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67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К+ </w:t>
            </w: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7" w:type="dxa"/>
          </w:tcPr>
          <w:p w:rsidR="00BD0903" w:rsidRPr="004B286B" w:rsidRDefault="00BD0903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++ </w:t>
            </w: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67" w:type="dxa"/>
          </w:tcPr>
          <w:p w:rsidR="00BD0903" w:rsidRPr="004B286B" w:rsidRDefault="00BD0903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++ </w:t>
            </w: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67" w:type="dxa"/>
          </w:tcPr>
          <w:p w:rsidR="00BD0903" w:rsidRPr="004B286B" w:rsidRDefault="00BD0903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567" w:type="dxa"/>
          </w:tcPr>
          <w:p w:rsidR="00BD0903" w:rsidRPr="004B286B" w:rsidRDefault="00BD0903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3" w:rsidTr="00FF5141">
        <w:tc>
          <w:tcPr>
            <w:tcW w:w="3556" w:type="dxa"/>
          </w:tcPr>
          <w:p w:rsidR="00BD0903" w:rsidRPr="004B286B" w:rsidRDefault="00501D8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</w:tc>
        <w:tc>
          <w:tcPr>
            <w:tcW w:w="3559" w:type="dxa"/>
          </w:tcPr>
          <w:p w:rsidR="00BD0903" w:rsidRPr="004B286B" w:rsidRDefault="002F6556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567" w:type="dxa"/>
          </w:tcPr>
          <w:p w:rsidR="00BD0903" w:rsidRPr="004B286B" w:rsidRDefault="00BD0903" w:rsidP="004B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86" w:rsidTr="00FF51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556" w:type="dxa"/>
          </w:tcPr>
          <w:p w:rsidR="00856C86" w:rsidRPr="004B286B" w:rsidRDefault="00EA44BE" w:rsidP="0085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осмолярность</w:t>
            </w:r>
            <w:proofErr w:type="spellEnd"/>
          </w:p>
        </w:tc>
        <w:tc>
          <w:tcPr>
            <w:tcW w:w="3559" w:type="dxa"/>
          </w:tcPr>
          <w:p w:rsidR="00856C86" w:rsidRPr="004B286B" w:rsidRDefault="00EA44BE" w:rsidP="003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324 </w:t>
            </w: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мосм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</w:tc>
        <w:tc>
          <w:tcPr>
            <w:tcW w:w="3567" w:type="dxa"/>
          </w:tcPr>
          <w:p w:rsidR="00856C86" w:rsidRPr="004B286B" w:rsidRDefault="00EA44BE" w:rsidP="003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  <w:proofErr w:type="spellStart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>мосм</w:t>
            </w:r>
            <w:proofErr w:type="spellEnd"/>
            <w:r w:rsidRPr="004B286B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</w:tc>
      </w:tr>
    </w:tbl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r w:rsidRPr="00FF5141">
        <w:rPr>
          <w:rFonts w:ascii="Times New Roman" w:hAnsi="Times New Roman" w:cs="Times New Roman"/>
          <w:sz w:val="28"/>
          <w:szCs w:val="28"/>
        </w:rPr>
        <w:t xml:space="preserve">Если продукция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сред декстранов большинства ведущих фармакологических фирм мира хорошо известна, то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растворы данного класса КПР, выпускаемые отечественными производителями, ассоциируются клиницистами, главным образом, только с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полиглюкином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реополиглюкином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51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сегоднящний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день разработаны и предложены для широкого клинического </w:t>
      </w:r>
      <w:r w:rsidRPr="00FF5141">
        <w:rPr>
          <w:rFonts w:ascii="Times New Roman" w:hAnsi="Times New Roman" w:cs="Times New Roman"/>
          <w:sz w:val="28"/>
          <w:szCs w:val="28"/>
        </w:rPr>
        <w:lastRenderedPageBreak/>
        <w:t>применения ряд абсолютно новых и перспективных, с гемодинамической точки зрения, препаратов:</w:t>
      </w:r>
      <w:proofErr w:type="gramEnd"/>
    </w:p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750">
        <w:rPr>
          <w:rFonts w:ascii="Times New Roman" w:hAnsi="Times New Roman" w:cs="Times New Roman"/>
          <w:b/>
          <w:sz w:val="28"/>
          <w:szCs w:val="28"/>
        </w:rPr>
        <w:t>Полиглюсоль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- декстран с ММ 60000 - 80000</w:t>
      </w:r>
      <w:proofErr w:type="gramStart"/>
      <w:r w:rsidRPr="00FF514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F5141">
        <w:rPr>
          <w:rFonts w:ascii="Times New Roman" w:hAnsi="Times New Roman" w:cs="Times New Roman"/>
          <w:sz w:val="28"/>
          <w:szCs w:val="28"/>
        </w:rPr>
        <w:t xml:space="preserve">, содержащий соли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>+, K+, Ca+2, Mg+2. Применение данного препарата позволяет наряду с противошоковым действием осуществлять коррекцию электролитного дисбаланса.</w:t>
      </w:r>
    </w:p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750">
        <w:rPr>
          <w:rFonts w:ascii="Times New Roman" w:hAnsi="Times New Roman" w:cs="Times New Roman"/>
          <w:b/>
          <w:sz w:val="28"/>
          <w:szCs w:val="28"/>
        </w:rPr>
        <w:t>Полиоксидин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- коллоидный кровезаменитель гемодинамического действия на основе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полиэтиленгликоля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- 20000. У данного раствора не выявлено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аллергизирующего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иммуннодепрессивного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действия. Изучение лечебного действия на модели геморрагического и ожогового шока показало, что коррекция центральной гемодинамики аналогична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полиглюкину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>, но препарат в большей степени улучшает реологические свойства крови.</w:t>
      </w:r>
    </w:p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750">
        <w:rPr>
          <w:rFonts w:ascii="Times New Roman" w:hAnsi="Times New Roman" w:cs="Times New Roman"/>
          <w:b/>
          <w:sz w:val="28"/>
          <w:szCs w:val="28"/>
        </w:rPr>
        <w:t>Рондеферрин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- радиационно-модифицированный декстран с ММ 60000 ± 10000 Д. Вязкостные характеристики препарата находятся на уровне кровезаменителей реологического действия </w:t>
      </w:r>
      <w:proofErr w:type="gramStart"/>
      <w:r w:rsidRPr="00FF51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5141">
        <w:rPr>
          <w:rFonts w:ascii="Times New Roman" w:hAnsi="Times New Roman" w:cs="Times New Roman"/>
          <w:sz w:val="28"/>
          <w:szCs w:val="28"/>
        </w:rPr>
        <w:t xml:space="preserve">характеристическая вязкость 0,154 - 0,184). С целью придания препарату способности стимулировать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в его состав введено железо в легко усвояемой форме, а также медь и кобальт. Препарат обладает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плазмоэкспандерным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действием, восстанавливает АД, нормализует системную гемодинамику и микроциркуляцию. Дополнительное введение в макромолекулы "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Рондеферрина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" карбоксильных и карбонильных групп способствует проявлению у препарата иммуностимулирующих и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дезинтоксикационных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эффектов.</w:t>
      </w:r>
    </w:p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511D">
        <w:rPr>
          <w:rFonts w:ascii="Times New Roman" w:hAnsi="Times New Roman" w:cs="Times New Roman"/>
          <w:b/>
          <w:sz w:val="28"/>
          <w:szCs w:val="28"/>
        </w:rPr>
        <w:t>Рондекс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- 6% раствор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радиализированного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декстрана с ММ 65000±5000</w:t>
      </w:r>
      <w:proofErr w:type="gramStart"/>
      <w:r w:rsidRPr="00FF514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F5141">
        <w:rPr>
          <w:rFonts w:ascii="Times New Roman" w:hAnsi="Times New Roman" w:cs="Times New Roman"/>
          <w:sz w:val="28"/>
          <w:szCs w:val="28"/>
        </w:rPr>
        <w:t xml:space="preserve"> в 0,9% растворе хлорида натрия. Препарат соответствует международным стандартам для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плазмозаменителей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типа декстран-70, однако обладает преимуществами в виде сниженной почти в 1,5 раза характеристической и относительной вязкости и уменьшенным размерам макромолекул. В тоже время препарат обладает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дезинтоксикационным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свойством, а также эффектом защиты генетического аппарата клеток костного мозга после облучения.</w:t>
      </w:r>
    </w:p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6084">
        <w:rPr>
          <w:rFonts w:ascii="Times New Roman" w:hAnsi="Times New Roman" w:cs="Times New Roman"/>
          <w:b/>
          <w:sz w:val="28"/>
          <w:szCs w:val="28"/>
        </w:rPr>
        <w:t>Рондекс</w:t>
      </w:r>
      <w:proofErr w:type="spellEnd"/>
      <w:r w:rsidRPr="00ED6084">
        <w:rPr>
          <w:rFonts w:ascii="Times New Roman" w:hAnsi="Times New Roman" w:cs="Times New Roman"/>
          <w:b/>
          <w:sz w:val="28"/>
          <w:szCs w:val="28"/>
        </w:rPr>
        <w:t>-М</w:t>
      </w:r>
      <w:r w:rsidRPr="00FF5141">
        <w:rPr>
          <w:rFonts w:ascii="Times New Roman" w:hAnsi="Times New Roman" w:cs="Times New Roman"/>
          <w:sz w:val="28"/>
          <w:szCs w:val="28"/>
        </w:rPr>
        <w:t xml:space="preserve"> - модифицированный препарат "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Рондекса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", насыщенный карбоксильными группами. Препарат дополнительно обладает иммуномодулирующей и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интерферониндуцирующей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активностью.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Антиадгезивное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действие в 5 раз превосходит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и в 2,5 раза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рондекс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. По выраженности гемодинамического действия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рондекс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-М соответствует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полиглюкину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, а по влиянию на микроциркуляцию и тканевой кровоток -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реополиглюкину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>.</w:t>
      </w:r>
    </w:p>
    <w:p w:rsidR="009348AC" w:rsidRDefault="00FF5141" w:rsidP="00FF51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34E4">
        <w:rPr>
          <w:rFonts w:ascii="Times New Roman" w:hAnsi="Times New Roman" w:cs="Times New Roman"/>
          <w:b/>
          <w:sz w:val="28"/>
          <w:szCs w:val="28"/>
        </w:rPr>
        <w:t>Полифер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- является модификацией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полиглюкина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и состоит из комплекса декстрана с железом. Обладает гемодинамическим действием как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FF514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F5141">
        <w:rPr>
          <w:rFonts w:ascii="Times New Roman" w:hAnsi="Times New Roman" w:cs="Times New Roman"/>
          <w:sz w:val="28"/>
          <w:szCs w:val="28"/>
        </w:rPr>
        <w:t xml:space="preserve"> ускорять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при постгеморрагических анемиях.</w:t>
      </w:r>
      <w:r w:rsidR="009348A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0C15">
        <w:rPr>
          <w:rFonts w:ascii="Times New Roman" w:hAnsi="Times New Roman" w:cs="Times New Roman"/>
          <w:b/>
          <w:sz w:val="28"/>
          <w:szCs w:val="28"/>
        </w:rPr>
        <w:lastRenderedPageBreak/>
        <w:t>Реоглюман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- в его состав входят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маннитол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и бикарбонат натрия. Препарат устраняет тканевый ацидоз, а реологический и диуретический эффекты усилены </w:t>
      </w:r>
      <w:r w:rsidR="00BA1A4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spellStart"/>
      <w:r w:rsidR="00BA1A4F">
        <w:rPr>
          <w:rFonts w:ascii="Times New Roman" w:hAnsi="Times New Roman" w:cs="Times New Roman"/>
          <w:sz w:val="28"/>
          <w:szCs w:val="28"/>
        </w:rPr>
        <w:t>реополиглюкином</w:t>
      </w:r>
      <w:proofErr w:type="spellEnd"/>
      <w:r w:rsidR="00BA1A4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Pr="00FF5141">
        <w:rPr>
          <w:rFonts w:ascii="Times New Roman" w:hAnsi="Times New Roman" w:cs="Times New Roman"/>
          <w:sz w:val="28"/>
          <w:szCs w:val="28"/>
        </w:rPr>
        <w:t>Перспективным направлением в созда</w:t>
      </w:r>
      <w:r w:rsidR="00DB6896">
        <w:rPr>
          <w:rFonts w:ascii="Times New Roman" w:hAnsi="Times New Roman" w:cs="Times New Roman"/>
          <w:sz w:val="28"/>
          <w:szCs w:val="28"/>
        </w:rPr>
        <w:t>нии КПР является создание крове</w:t>
      </w:r>
      <w:r w:rsidRPr="00FF5141">
        <w:rPr>
          <w:rFonts w:ascii="Times New Roman" w:hAnsi="Times New Roman" w:cs="Times New Roman"/>
          <w:sz w:val="28"/>
          <w:szCs w:val="28"/>
        </w:rPr>
        <w:t xml:space="preserve">заменителей на основе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пуллулана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- полисахарида, состоящего из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мальтотриазонных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единиц, соединенных альфа-1-6-связями. Биологические испытания первого кровезаменителя - "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Макропуллина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" показали хороший гемодинамический эффект на моделях кровопотери и шока </w:t>
      </w:r>
      <w:proofErr w:type="gramStart"/>
      <w:r w:rsidRPr="00FF5141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FF5141">
        <w:rPr>
          <w:rFonts w:ascii="Times New Roman" w:hAnsi="Times New Roman" w:cs="Times New Roman"/>
          <w:sz w:val="28"/>
          <w:szCs w:val="28"/>
        </w:rPr>
        <w:t>8 ].</w:t>
      </w:r>
    </w:p>
    <w:p w:rsidR="00FF5141" w:rsidRPr="00FF5141" w:rsidRDefault="00BA1A4F" w:rsidP="00FF5141">
      <w:pPr>
        <w:rPr>
          <w:rFonts w:ascii="Times New Roman" w:hAnsi="Times New Roman" w:cs="Times New Roman"/>
          <w:sz w:val="28"/>
          <w:szCs w:val="28"/>
        </w:rPr>
      </w:pPr>
      <w:r w:rsidRPr="00816465">
        <w:rPr>
          <w:rFonts w:ascii="Times New Roman" w:hAnsi="Times New Roman" w:cs="Times New Roman"/>
          <w:b/>
          <w:sz w:val="28"/>
          <w:szCs w:val="28"/>
        </w:rPr>
        <w:t>ПРЕПАРАТЫ НА ОСНОВЕ ЖЕЛАТИНА.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F5141" w:rsidRPr="00FF5141">
        <w:rPr>
          <w:rFonts w:ascii="Times New Roman" w:hAnsi="Times New Roman" w:cs="Times New Roman"/>
          <w:sz w:val="28"/>
          <w:szCs w:val="28"/>
        </w:rPr>
        <w:t xml:space="preserve">С момента первого применения раствора желатина </w:t>
      </w:r>
      <w:proofErr w:type="spellStart"/>
      <w:r w:rsidR="00FF5141" w:rsidRPr="00FF5141">
        <w:rPr>
          <w:rFonts w:ascii="Times New Roman" w:hAnsi="Times New Roman" w:cs="Times New Roman"/>
          <w:sz w:val="28"/>
          <w:szCs w:val="28"/>
        </w:rPr>
        <w:t>J.Hogan</w:t>
      </w:r>
      <w:proofErr w:type="spellEnd"/>
      <w:r w:rsidR="00FF5141" w:rsidRPr="00FF5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141" w:rsidRPr="00FF51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5141" w:rsidRPr="00FF5141">
        <w:rPr>
          <w:rFonts w:ascii="Times New Roman" w:hAnsi="Times New Roman" w:cs="Times New Roman"/>
          <w:sz w:val="28"/>
          <w:szCs w:val="28"/>
        </w:rPr>
        <w:t xml:space="preserve">1915 ) для замещении крови при смертельной кровопотере прошло почти 85 лет. В настоящее время в мире применяются более 50 различиях препаратов на его основе. </w:t>
      </w:r>
      <w:proofErr w:type="gramStart"/>
      <w:r w:rsidR="00FF5141" w:rsidRPr="00FF5141">
        <w:rPr>
          <w:rFonts w:ascii="Times New Roman" w:hAnsi="Times New Roman" w:cs="Times New Roman"/>
          <w:sz w:val="28"/>
          <w:szCs w:val="28"/>
        </w:rPr>
        <w:t>Наиболее известный в нашей стране "</w:t>
      </w:r>
      <w:proofErr w:type="spellStart"/>
      <w:r w:rsidR="00FF5141" w:rsidRPr="00FF5141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FF5141" w:rsidRPr="00FF5141">
        <w:rPr>
          <w:rFonts w:ascii="Times New Roman" w:hAnsi="Times New Roman" w:cs="Times New Roman"/>
          <w:sz w:val="28"/>
          <w:szCs w:val="28"/>
        </w:rPr>
        <w:t>" разработан в Ленинградском НИИ гематологии и</w:t>
      </w:r>
      <w:r>
        <w:rPr>
          <w:rFonts w:ascii="Times New Roman" w:hAnsi="Times New Roman" w:cs="Times New Roman"/>
          <w:sz w:val="28"/>
          <w:szCs w:val="28"/>
        </w:rPr>
        <w:t xml:space="preserve"> переливания крови в 1961 году.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F5141" w:rsidRPr="00FF5141">
        <w:rPr>
          <w:rFonts w:ascii="Times New Roman" w:hAnsi="Times New Roman" w:cs="Times New Roman"/>
          <w:sz w:val="28"/>
          <w:szCs w:val="28"/>
        </w:rPr>
        <w:t>По своей биологической природе желатин является денатурированным белком, полученным из коллагенсодержащих тканей крупного рогатого скота в результате ступенчатой тепловой и химической обработки. Исходным сырьем может быть также нервная ткань быка. Однако</w:t>
      </w:r>
      <w:proofErr w:type="gramStart"/>
      <w:r w:rsidR="00FF5141" w:rsidRPr="00FF51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5141" w:rsidRPr="00FF5141">
        <w:rPr>
          <w:rFonts w:ascii="Times New Roman" w:hAnsi="Times New Roman" w:cs="Times New Roman"/>
          <w:sz w:val="28"/>
          <w:szCs w:val="28"/>
        </w:rPr>
        <w:t xml:space="preserve"> в данном случае разработчики не исклю</w:t>
      </w:r>
      <w:r>
        <w:rPr>
          <w:rFonts w:ascii="Times New Roman" w:hAnsi="Times New Roman" w:cs="Times New Roman"/>
          <w:sz w:val="28"/>
          <w:szCs w:val="28"/>
        </w:rPr>
        <w:t xml:space="preserve">чают возможность инфицирования.                                                                                     </w:t>
      </w:r>
      <w:r w:rsidR="00FF5141" w:rsidRPr="00FF5141">
        <w:rPr>
          <w:rFonts w:ascii="Times New Roman" w:hAnsi="Times New Roman" w:cs="Times New Roman"/>
          <w:sz w:val="28"/>
          <w:szCs w:val="28"/>
        </w:rPr>
        <w:t xml:space="preserve">Современная классификация </w:t>
      </w:r>
      <w:proofErr w:type="spellStart"/>
      <w:r w:rsidR="00FF5141" w:rsidRPr="00FF5141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="00FF5141" w:rsidRPr="00FF5141">
        <w:rPr>
          <w:rFonts w:ascii="Times New Roman" w:hAnsi="Times New Roman" w:cs="Times New Roman"/>
          <w:sz w:val="28"/>
          <w:szCs w:val="28"/>
        </w:rPr>
        <w:t xml:space="preserve"> сред на основе желатина предусматривает выделение трех основных типов продукции:</w:t>
      </w:r>
    </w:p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r w:rsidRPr="00FF5141">
        <w:rPr>
          <w:rFonts w:ascii="Times New Roman" w:hAnsi="Times New Roman" w:cs="Times New Roman"/>
          <w:sz w:val="28"/>
          <w:szCs w:val="28"/>
        </w:rPr>
        <w:t xml:space="preserve">1 - </w:t>
      </w:r>
      <w:r w:rsidRPr="00DF3930">
        <w:rPr>
          <w:rFonts w:ascii="Times New Roman" w:hAnsi="Times New Roman" w:cs="Times New Roman"/>
          <w:b/>
          <w:sz w:val="28"/>
          <w:szCs w:val="28"/>
        </w:rPr>
        <w:t xml:space="preserve">растворы на основе </w:t>
      </w:r>
      <w:proofErr w:type="spellStart"/>
      <w:r w:rsidRPr="00DF3930">
        <w:rPr>
          <w:rFonts w:ascii="Times New Roman" w:hAnsi="Times New Roman" w:cs="Times New Roman"/>
          <w:b/>
          <w:sz w:val="28"/>
          <w:szCs w:val="28"/>
        </w:rPr>
        <w:t>оксиполижелатина</w:t>
      </w:r>
      <w:proofErr w:type="spellEnd"/>
      <w:r w:rsidRPr="00DF3930">
        <w:rPr>
          <w:rFonts w:ascii="Times New Roman" w:hAnsi="Times New Roman" w:cs="Times New Roman"/>
          <w:b/>
          <w:sz w:val="28"/>
          <w:szCs w:val="28"/>
        </w:rPr>
        <w:t xml:space="preserve"> (ОР</w:t>
      </w:r>
      <w:proofErr w:type="gramStart"/>
      <w:r w:rsidRPr="00DF3930">
        <w:rPr>
          <w:rFonts w:ascii="Times New Roman" w:hAnsi="Times New Roman" w:cs="Times New Roman"/>
          <w:b/>
          <w:sz w:val="28"/>
          <w:szCs w:val="28"/>
        </w:rPr>
        <w:t>G</w:t>
      </w:r>
      <w:proofErr w:type="gramEnd"/>
      <w:r w:rsidRPr="00DF3930">
        <w:rPr>
          <w:rFonts w:ascii="Times New Roman" w:hAnsi="Times New Roman" w:cs="Times New Roman"/>
          <w:b/>
          <w:sz w:val="28"/>
          <w:szCs w:val="28"/>
        </w:rPr>
        <w:t>);</w:t>
      </w:r>
    </w:p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r w:rsidRPr="00FF5141">
        <w:rPr>
          <w:rFonts w:ascii="Times New Roman" w:hAnsi="Times New Roman" w:cs="Times New Roman"/>
          <w:sz w:val="28"/>
          <w:szCs w:val="28"/>
        </w:rPr>
        <w:t xml:space="preserve">2 - </w:t>
      </w:r>
      <w:r w:rsidRPr="00DF3930">
        <w:rPr>
          <w:rFonts w:ascii="Times New Roman" w:hAnsi="Times New Roman" w:cs="Times New Roman"/>
          <w:b/>
          <w:sz w:val="28"/>
          <w:szCs w:val="28"/>
        </w:rPr>
        <w:t xml:space="preserve">растворы на основе </w:t>
      </w:r>
      <w:proofErr w:type="spellStart"/>
      <w:r w:rsidRPr="00DF3930">
        <w:rPr>
          <w:rFonts w:ascii="Times New Roman" w:hAnsi="Times New Roman" w:cs="Times New Roman"/>
          <w:b/>
          <w:sz w:val="28"/>
          <w:szCs w:val="28"/>
        </w:rPr>
        <w:t>сукцинированного</w:t>
      </w:r>
      <w:proofErr w:type="spellEnd"/>
      <w:r w:rsidRPr="00DF3930">
        <w:rPr>
          <w:rFonts w:ascii="Times New Roman" w:hAnsi="Times New Roman" w:cs="Times New Roman"/>
          <w:b/>
          <w:sz w:val="28"/>
          <w:szCs w:val="28"/>
        </w:rPr>
        <w:t xml:space="preserve"> желатина (модифицированного жидкого желатина) - (</w:t>
      </w:r>
      <w:proofErr w:type="gramStart"/>
      <w:r w:rsidRPr="00DF393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F3930">
        <w:rPr>
          <w:rFonts w:ascii="Times New Roman" w:hAnsi="Times New Roman" w:cs="Times New Roman"/>
          <w:b/>
          <w:sz w:val="28"/>
          <w:szCs w:val="28"/>
        </w:rPr>
        <w:t>LG);</w:t>
      </w:r>
    </w:p>
    <w:p w:rsidR="00FF5141" w:rsidRPr="00FF5141" w:rsidRDefault="00FF5141" w:rsidP="00FF5141">
      <w:pPr>
        <w:rPr>
          <w:rFonts w:ascii="Times New Roman" w:hAnsi="Times New Roman" w:cs="Times New Roman"/>
          <w:sz w:val="28"/>
          <w:szCs w:val="28"/>
        </w:rPr>
      </w:pPr>
      <w:r w:rsidRPr="00FF5141">
        <w:rPr>
          <w:rFonts w:ascii="Times New Roman" w:hAnsi="Times New Roman" w:cs="Times New Roman"/>
          <w:sz w:val="28"/>
          <w:szCs w:val="28"/>
        </w:rPr>
        <w:t xml:space="preserve">3 - </w:t>
      </w:r>
      <w:r w:rsidRPr="00DF3930">
        <w:rPr>
          <w:rFonts w:ascii="Times New Roman" w:hAnsi="Times New Roman" w:cs="Times New Roman"/>
          <w:b/>
          <w:sz w:val="28"/>
          <w:szCs w:val="28"/>
        </w:rPr>
        <w:t>растворы на основе желатина приготовленного из мочевины (</w:t>
      </w:r>
      <w:proofErr w:type="spellStart"/>
      <w:r w:rsidRPr="00DF3930">
        <w:rPr>
          <w:rFonts w:ascii="Times New Roman" w:hAnsi="Times New Roman" w:cs="Times New Roman"/>
          <w:b/>
          <w:sz w:val="28"/>
          <w:szCs w:val="28"/>
        </w:rPr>
        <w:t>Crossl</w:t>
      </w:r>
      <w:proofErr w:type="spellEnd"/>
      <w:r w:rsidRPr="00DF3930">
        <w:rPr>
          <w:rFonts w:ascii="Times New Roman" w:hAnsi="Times New Roman" w:cs="Times New Roman"/>
          <w:b/>
          <w:sz w:val="28"/>
          <w:szCs w:val="28"/>
        </w:rPr>
        <w:t>.)</w:t>
      </w:r>
      <w:r w:rsidRPr="00FF5141">
        <w:rPr>
          <w:rFonts w:ascii="Times New Roman" w:hAnsi="Times New Roman" w:cs="Times New Roman"/>
          <w:sz w:val="28"/>
          <w:szCs w:val="28"/>
        </w:rPr>
        <w:t xml:space="preserve"> </w:t>
      </w:r>
      <w:r w:rsidR="00DF39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5141">
        <w:rPr>
          <w:rFonts w:ascii="Times New Roman" w:hAnsi="Times New Roman" w:cs="Times New Roman"/>
          <w:sz w:val="28"/>
          <w:szCs w:val="28"/>
        </w:rPr>
        <w:t xml:space="preserve">В таблице №2 представлена краткая характеристика ряда </w:t>
      </w:r>
      <w:proofErr w:type="spellStart"/>
      <w:r w:rsidRPr="00FF5141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FF5141">
        <w:rPr>
          <w:rFonts w:ascii="Times New Roman" w:hAnsi="Times New Roman" w:cs="Times New Roman"/>
          <w:sz w:val="28"/>
          <w:szCs w:val="28"/>
        </w:rPr>
        <w:t xml:space="preserve"> сред на основе желатины.</w:t>
      </w:r>
    </w:p>
    <w:p w:rsidR="00F617A0" w:rsidRDefault="00FF5141" w:rsidP="00FF5141">
      <w:pPr>
        <w:rPr>
          <w:rFonts w:ascii="Times New Roman" w:hAnsi="Times New Roman" w:cs="Times New Roman"/>
          <w:sz w:val="28"/>
          <w:szCs w:val="28"/>
        </w:rPr>
      </w:pPr>
      <w:r w:rsidRPr="00FF5141">
        <w:rPr>
          <w:rFonts w:ascii="Times New Roman" w:hAnsi="Times New Roman" w:cs="Times New Roman"/>
          <w:sz w:val="28"/>
          <w:szCs w:val="28"/>
        </w:rPr>
        <w:t>Таблица 2. Сравнительная характеристика препаратов на основе желатина.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1747"/>
        <w:gridCol w:w="1275"/>
        <w:gridCol w:w="1240"/>
        <w:gridCol w:w="1270"/>
        <w:gridCol w:w="1456"/>
        <w:gridCol w:w="2255"/>
      </w:tblGrid>
      <w:tr w:rsidR="00215BD7" w:rsidTr="00215BD7">
        <w:tc>
          <w:tcPr>
            <w:tcW w:w="1526" w:type="dxa"/>
          </w:tcPr>
          <w:p w:rsidR="00215BD7" w:rsidRPr="00604542" w:rsidRDefault="00241A7E" w:rsidP="004D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42">
              <w:rPr>
                <w:rFonts w:ascii="Times New Roman" w:hAnsi="Times New Roman" w:cs="Times New Roman"/>
                <w:b/>
              </w:rPr>
              <w:t>Желатин</w:t>
            </w:r>
          </w:p>
        </w:tc>
        <w:tc>
          <w:tcPr>
            <w:tcW w:w="1526" w:type="dxa"/>
          </w:tcPr>
          <w:p w:rsidR="00215BD7" w:rsidRPr="00604542" w:rsidRDefault="00241A7E" w:rsidP="004D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42">
              <w:rPr>
                <w:rFonts w:ascii="Times New Roman" w:hAnsi="Times New Roman" w:cs="Times New Roman"/>
                <w:b/>
              </w:rPr>
              <w:t>Производитель</w:t>
            </w:r>
            <w:r w:rsidRPr="0060454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26" w:type="dxa"/>
          </w:tcPr>
          <w:p w:rsidR="00215BD7" w:rsidRPr="00604542" w:rsidRDefault="00241A7E" w:rsidP="004D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42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526" w:type="dxa"/>
          </w:tcPr>
          <w:p w:rsidR="00215BD7" w:rsidRPr="00604542" w:rsidRDefault="009A560E" w:rsidP="004D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26" w:type="dxa"/>
          </w:tcPr>
          <w:p w:rsidR="00215BD7" w:rsidRPr="00604542" w:rsidRDefault="006076D9" w:rsidP="004D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42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526" w:type="dxa"/>
          </w:tcPr>
          <w:p w:rsidR="00215BD7" w:rsidRPr="00604542" w:rsidRDefault="0024304F" w:rsidP="004D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42">
              <w:rPr>
                <w:rFonts w:ascii="Times New Roman" w:hAnsi="Times New Roman" w:cs="Times New Roman"/>
                <w:b/>
              </w:rPr>
              <w:t>Объем замещения</w:t>
            </w:r>
          </w:p>
        </w:tc>
        <w:tc>
          <w:tcPr>
            <w:tcW w:w="1526" w:type="dxa"/>
          </w:tcPr>
          <w:p w:rsidR="00215BD7" w:rsidRPr="00604542" w:rsidRDefault="0024304F" w:rsidP="004D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42">
              <w:rPr>
                <w:rFonts w:ascii="Times New Roman" w:hAnsi="Times New Roman" w:cs="Times New Roman"/>
                <w:b/>
              </w:rPr>
              <w:t>Продолжительность действия</w:t>
            </w:r>
          </w:p>
        </w:tc>
      </w:tr>
      <w:tr w:rsidR="00215BD7" w:rsidTr="00215BD7">
        <w:tc>
          <w:tcPr>
            <w:tcW w:w="1526" w:type="dxa"/>
          </w:tcPr>
          <w:p w:rsidR="00215BD7" w:rsidRPr="004D06CC" w:rsidRDefault="00B52C80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C80">
              <w:rPr>
                <w:rFonts w:ascii="Times New Roman" w:hAnsi="Times New Roman" w:cs="Times New Roman"/>
              </w:rPr>
              <w:t>Haemaccel</w:t>
            </w:r>
            <w:proofErr w:type="spellEnd"/>
          </w:p>
        </w:tc>
        <w:tc>
          <w:tcPr>
            <w:tcW w:w="1526" w:type="dxa"/>
          </w:tcPr>
          <w:p w:rsidR="00215BD7" w:rsidRPr="004D06CC" w:rsidRDefault="00F03F35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35">
              <w:rPr>
                <w:rFonts w:ascii="Times New Roman" w:hAnsi="Times New Roman" w:cs="Times New Roman"/>
              </w:rPr>
              <w:t>Behring</w:t>
            </w:r>
            <w:proofErr w:type="spellEnd"/>
          </w:p>
        </w:tc>
        <w:tc>
          <w:tcPr>
            <w:tcW w:w="1526" w:type="dxa"/>
          </w:tcPr>
          <w:p w:rsidR="00215BD7" w:rsidRPr="004D06CC" w:rsidRDefault="001138EA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8EA">
              <w:rPr>
                <w:rFonts w:ascii="Times New Roman" w:hAnsi="Times New Roman" w:cs="Times New Roman"/>
              </w:rPr>
              <w:t>Crossl</w:t>
            </w:r>
            <w:proofErr w:type="spellEnd"/>
          </w:p>
        </w:tc>
        <w:tc>
          <w:tcPr>
            <w:tcW w:w="1526" w:type="dxa"/>
          </w:tcPr>
          <w:p w:rsidR="00215BD7" w:rsidRPr="004D06CC" w:rsidRDefault="009A560E" w:rsidP="004D06CC">
            <w:pPr>
              <w:jc w:val="center"/>
              <w:rPr>
                <w:rFonts w:ascii="Times New Roman" w:hAnsi="Times New Roman" w:cs="Times New Roman"/>
              </w:rPr>
            </w:pPr>
            <w:r w:rsidRPr="009A560E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1526" w:type="dxa"/>
          </w:tcPr>
          <w:p w:rsidR="00215BD7" w:rsidRPr="004D06CC" w:rsidRDefault="006076D9" w:rsidP="004D06CC">
            <w:pPr>
              <w:jc w:val="center"/>
              <w:rPr>
                <w:rFonts w:ascii="Times New Roman" w:hAnsi="Times New Roman" w:cs="Times New Roman"/>
              </w:rPr>
            </w:pPr>
            <w:r w:rsidRPr="006076D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 w:rsidRPr="0024304F">
              <w:rPr>
                <w:rFonts w:ascii="Times New Roman" w:hAnsi="Times New Roman" w:cs="Times New Roman"/>
              </w:rPr>
              <w:t>50-70%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 w:rsidRPr="0024304F">
              <w:rPr>
                <w:rFonts w:ascii="Times New Roman" w:hAnsi="Times New Roman" w:cs="Times New Roman"/>
              </w:rPr>
              <w:t>1 - 2 ч</w:t>
            </w:r>
          </w:p>
        </w:tc>
      </w:tr>
      <w:tr w:rsidR="00215BD7" w:rsidTr="00215BD7">
        <w:tc>
          <w:tcPr>
            <w:tcW w:w="1526" w:type="dxa"/>
          </w:tcPr>
          <w:p w:rsidR="00215BD7" w:rsidRPr="004D06CC" w:rsidRDefault="00B52C80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C80">
              <w:rPr>
                <w:rFonts w:ascii="Times New Roman" w:hAnsi="Times New Roman" w:cs="Times New Roman"/>
              </w:rPr>
              <w:t>Helifundol</w:t>
            </w:r>
            <w:proofErr w:type="spellEnd"/>
          </w:p>
        </w:tc>
        <w:tc>
          <w:tcPr>
            <w:tcW w:w="1526" w:type="dxa"/>
          </w:tcPr>
          <w:p w:rsidR="00215BD7" w:rsidRPr="004D06CC" w:rsidRDefault="00F03F35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35">
              <w:rPr>
                <w:rFonts w:ascii="Times New Roman" w:hAnsi="Times New Roman" w:cs="Times New Roman"/>
              </w:rPr>
              <w:t>Biotest</w:t>
            </w:r>
            <w:proofErr w:type="spellEnd"/>
          </w:p>
        </w:tc>
        <w:tc>
          <w:tcPr>
            <w:tcW w:w="1526" w:type="dxa"/>
          </w:tcPr>
          <w:p w:rsidR="00215BD7" w:rsidRPr="004D06CC" w:rsidRDefault="001138EA" w:rsidP="004D06CC">
            <w:pPr>
              <w:jc w:val="center"/>
              <w:rPr>
                <w:rFonts w:ascii="Times New Roman" w:hAnsi="Times New Roman" w:cs="Times New Roman"/>
              </w:rPr>
            </w:pPr>
            <w:r w:rsidRPr="001138EA">
              <w:rPr>
                <w:rFonts w:ascii="Times New Roman" w:hAnsi="Times New Roman" w:cs="Times New Roman"/>
              </w:rPr>
              <w:t>OPG</w:t>
            </w:r>
          </w:p>
        </w:tc>
        <w:tc>
          <w:tcPr>
            <w:tcW w:w="1526" w:type="dxa"/>
          </w:tcPr>
          <w:p w:rsidR="00215BD7" w:rsidRPr="004D06CC" w:rsidRDefault="001F14C9" w:rsidP="001F14C9">
            <w:pPr>
              <w:jc w:val="center"/>
              <w:rPr>
                <w:rFonts w:ascii="Times New Roman" w:hAnsi="Times New Roman" w:cs="Times New Roman"/>
              </w:rPr>
            </w:pPr>
            <w:r w:rsidRPr="001F14C9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1526" w:type="dxa"/>
          </w:tcPr>
          <w:p w:rsidR="00215BD7" w:rsidRPr="004D06CC" w:rsidRDefault="006076D9" w:rsidP="004D06CC">
            <w:pPr>
              <w:jc w:val="center"/>
              <w:rPr>
                <w:rFonts w:ascii="Times New Roman" w:hAnsi="Times New Roman" w:cs="Times New Roman"/>
              </w:rPr>
            </w:pPr>
            <w:r w:rsidRPr="006076D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 w:rsidRPr="0024304F">
              <w:rPr>
                <w:rFonts w:ascii="Times New Roman" w:hAnsi="Times New Roman" w:cs="Times New Roman"/>
              </w:rPr>
              <w:t>1 - 2 ч</w:t>
            </w:r>
          </w:p>
        </w:tc>
      </w:tr>
      <w:tr w:rsidR="00215BD7" w:rsidTr="00215BD7">
        <w:tc>
          <w:tcPr>
            <w:tcW w:w="1526" w:type="dxa"/>
          </w:tcPr>
          <w:p w:rsidR="00215BD7" w:rsidRPr="004D06CC" w:rsidRDefault="00B52C80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C80">
              <w:rPr>
                <w:rFonts w:ascii="Times New Roman" w:hAnsi="Times New Roman" w:cs="Times New Roman"/>
              </w:rPr>
              <w:t>Gelofusin</w:t>
            </w:r>
            <w:proofErr w:type="spellEnd"/>
          </w:p>
        </w:tc>
        <w:tc>
          <w:tcPr>
            <w:tcW w:w="1526" w:type="dxa"/>
          </w:tcPr>
          <w:p w:rsidR="00215BD7" w:rsidRPr="004D06CC" w:rsidRDefault="00F03F35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F03F35">
              <w:rPr>
                <w:rFonts w:ascii="Times New Roman" w:hAnsi="Times New Roman" w:cs="Times New Roman"/>
              </w:rPr>
              <w:t>Braun</w:t>
            </w:r>
            <w:proofErr w:type="spellEnd"/>
          </w:p>
        </w:tc>
        <w:tc>
          <w:tcPr>
            <w:tcW w:w="1526" w:type="dxa"/>
          </w:tcPr>
          <w:p w:rsidR="00215BD7" w:rsidRPr="004D06CC" w:rsidRDefault="001138EA" w:rsidP="004D06CC">
            <w:pPr>
              <w:jc w:val="center"/>
              <w:rPr>
                <w:rFonts w:ascii="Times New Roman" w:hAnsi="Times New Roman" w:cs="Times New Roman"/>
              </w:rPr>
            </w:pPr>
            <w:r w:rsidRPr="001138EA">
              <w:rPr>
                <w:rFonts w:ascii="Times New Roman" w:hAnsi="Times New Roman" w:cs="Times New Roman"/>
              </w:rPr>
              <w:t>MLG</w:t>
            </w:r>
          </w:p>
        </w:tc>
        <w:tc>
          <w:tcPr>
            <w:tcW w:w="1526" w:type="dxa"/>
          </w:tcPr>
          <w:p w:rsidR="00215BD7" w:rsidRPr="004D06CC" w:rsidRDefault="001F14C9" w:rsidP="004D06CC">
            <w:pPr>
              <w:jc w:val="center"/>
              <w:rPr>
                <w:rFonts w:ascii="Times New Roman" w:hAnsi="Times New Roman" w:cs="Times New Roman"/>
              </w:rPr>
            </w:pPr>
            <w:r w:rsidRPr="001F14C9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1526" w:type="dxa"/>
          </w:tcPr>
          <w:p w:rsidR="00215BD7" w:rsidRPr="004D06CC" w:rsidRDefault="006076D9" w:rsidP="004D06CC">
            <w:pPr>
              <w:jc w:val="center"/>
              <w:rPr>
                <w:rFonts w:ascii="Times New Roman" w:hAnsi="Times New Roman" w:cs="Times New Roman"/>
              </w:rPr>
            </w:pPr>
            <w:r w:rsidRPr="006076D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 w:rsidRPr="0024304F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26" w:type="dxa"/>
          </w:tcPr>
          <w:p w:rsidR="00215BD7" w:rsidRPr="004D06CC" w:rsidRDefault="00215BD7" w:rsidP="004D0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BD7" w:rsidTr="00215BD7">
        <w:tc>
          <w:tcPr>
            <w:tcW w:w="1526" w:type="dxa"/>
          </w:tcPr>
          <w:p w:rsidR="00215BD7" w:rsidRPr="004D06CC" w:rsidRDefault="00B52C80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C80">
              <w:rPr>
                <w:rFonts w:ascii="Times New Roman" w:hAnsi="Times New Roman" w:cs="Times New Roman"/>
              </w:rPr>
              <w:t>Physiogel</w:t>
            </w:r>
            <w:proofErr w:type="spellEnd"/>
          </w:p>
        </w:tc>
        <w:tc>
          <w:tcPr>
            <w:tcW w:w="1526" w:type="dxa"/>
          </w:tcPr>
          <w:p w:rsidR="00215BD7" w:rsidRPr="004D06CC" w:rsidRDefault="00F03F35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35">
              <w:rPr>
                <w:rFonts w:ascii="Times New Roman" w:hAnsi="Times New Roman" w:cs="Times New Roman"/>
              </w:rPr>
              <w:t>Red</w:t>
            </w:r>
            <w:proofErr w:type="spellEnd"/>
            <w:r w:rsidRPr="00F03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F35">
              <w:rPr>
                <w:rFonts w:ascii="Times New Roman" w:hAnsi="Times New Roman" w:cs="Times New Roman"/>
              </w:rPr>
              <w:t>Cross</w:t>
            </w:r>
            <w:proofErr w:type="spellEnd"/>
          </w:p>
        </w:tc>
        <w:tc>
          <w:tcPr>
            <w:tcW w:w="1526" w:type="dxa"/>
          </w:tcPr>
          <w:p w:rsidR="00215BD7" w:rsidRPr="004D06CC" w:rsidRDefault="001138EA" w:rsidP="004D06CC">
            <w:pPr>
              <w:jc w:val="center"/>
              <w:rPr>
                <w:rFonts w:ascii="Times New Roman" w:hAnsi="Times New Roman" w:cs="Times New Roman"/>
              </w:rPr>
            </w:pPr>
            <w:r w:rsidRPr="001138EA">
              <w:rPr>
                <w:rFonts w:ascii="Times New Roman" w:hAnsi="Times New Roman" w:cs="Times New Roman"/>
              </w:rPr>
              <w:t>MLG</w:t>
            </w:r>
          </w:p>
        </w:tc>
        <w:tc>
          <w:tcPr>
            <w:tcW w:w="1526" w:type="dxa"/>
          </w:tcPr>
          <w:p w:rsidR="00215BD7" w:rsidRPr="004D06CC" w:rsidRDefault="001F14C9" w:rsidP="004D06CC">
            <w:pPr>
              <w:jc w:val="center"/>
              <w:rPr>
                <w:rFonts w:ascii="Times New Roman" w:hAnsi="Times New Roman" w:cs="Times New Roman"/>
              </w:rPr>
            </w:pPr>
            <w:r w:rsidRPr="001F14C9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1526" w:type="dxa"/>
          </w:tcPr>
          <w:p w:rsidR="00215BD7" w:rsidRPr="004D06CC" w:rsidRDefault="006076D9" w:rsidP="004D06CC">
            <w:pPr>
              <w:jc w:val="center"/>
              <w:rPr>
                <w:rFonts w:ascii="Times New Roman" w:hAnsi="Times New Roman" w:cs="Times New Roman"/>
              </w:rPr>
            </w:pPr>
            <w:r w:rsidRPr="006076D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 w:rsidRPr="0024304F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 w:rsidRPr="0024304F">
              <w:rPr>
                <w:rFonts w:ascii="Times New Roman" w:hAnsi="Times New Roman" w:cs="Times New Roman"/>
              </w:rPr>
              <w:t>1 - 2 ч</w:t>
            </w:r>
          </w:p>
        </w:tc>
      </w:tr>
      <w:tr w:rsidR="00215BD7" w:rsidTr="00215BD7">
        <w:tc>
          <w:tcPr>
            <w:tcW w:w="1526" w:type="dxa"/>
          </w:tcPr>
          <w:p w:rsidR="00215BD7" w:rsidRPr="004D06CC" w:rsidRDefault="00B52C80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C80">
              <w:rPr>
                <w:rFonts w:ascii="Times New Roman" w:hAnsi="Times New Roman" w:cs="Times New Roman"/>
              </w:rPr>
              <w:t>Plasmion</w:t>
            </w:r>
            <w:proofErr w:type="spellEnd"/>
          </w:p>
        </w:tc>
        <w:tc>
          <w:tcPr>
            <w:tcW w:w="1526" w:type="dxa"/>
          </w:tcPr>
          <w:p w:rsidR="00215BD7" w:rsidRPr="004D06CC" w:rsidRDefault="00F03F35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35">
              <w:rPr>
                <w:rFonts w:ascii="Times New Roman" w:hAnsi="Times New Roman" w:cs="Times New Roman"/>
              </w:rPr>
              <w:t>R.Bellon</w:t>
            </w:r>
            <w:proofErr w:type="spellEnd"/>
          </w:p>
        </w:tc>
        <w:tc>
          <w:tcPr>
            <w:tcW w:w="1526" w:type="dxa"/>
          </w:tcPr>
          <w:p w:rsidR="00215BD7" w:rsidRPr="004D06CC" w:rsidRDefault="001138EA" w:rsidP="004D06CC">
            <w:pPr>
              <w:jc w:val="center"/>
              <w:rPr>
                <w:rFonts w:ascii="Times New Roman" w:hAnsi="Times New Roman" w:cs="Times New Roman"/>
              </w:rPr>
            </w:pPr>
            <w:r w:rsidRPr="001138EA">
              <w:rPr>
                <w:rFonts w:ascii="Times New Roman" w:hAnsi="Times New Roman" w:cs="Times New Roman"/>
              </w:rPr>
              <w:t>MLG</w:t>
            </w:r>
          </w:p>
        </w:tc>
        <w:tc>
          <w:tcPr>
            <w:tcW w:w="1526" w:type="dxa"/>
          </w:tcPr>
          <w:p w:rsidR="00215BD7" w:rsidRPr="004D06CC" w:rsidRDefault="001F14C9" w:rsidP="004D06CC">
            <w:pPr>
              <w:jc w:val="center"/>
              <w:rPr>
                <w:rFonts w:ascii="Times New Roman" w:hAnsi="Times New Roman" w:cs="Times New Roman"/>
              </w:rPr>
            </w:pPr>
            <w:r w:rsidRPr="001F14C9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1526" w:type="dxa"/>
          </w:tcPr>
          <w:p w:rsidR="00215BD7" w:rsidRPr="004D06CC" w:rsidRDefault="006076D9" w:rsidP="004D06CC">
            <w:pPr>
              <w:jc w:val="center"/>
              <w:rPr>
                <w:rFonts w:ascii="Times New Roman" w:hAnsi="Times New Roman" w:cs="Times New Roman"/>
              </w:rPr>
            </w:pPr>
            <w:r w:rsidRPr="006076D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BD7" w:rsidTr="00215BD7">
        <w:tc>
          <w:tcPr>
            <w:tcW w:w="1526" w:type="dxa"/>
          </w:tcPr>
          <w:p w:rsidR="00215BD7" w:rsidRPr="004D06CC" w:rsidRDefault="00B52C80" w:rsidP="00B52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C80">
              <w:rPr>
                <w:rFonts w:ascii="Times New Roman" w:hAnsi="Times New Roman" w:cs="Times New Roman"/>
              </w:rPr>
              <w:t>Geloplasma</w:t>
            </w:r>
            <w:proofErr w:type="spellEnd"/>
          </w:p>
        </w:tc>
        <w:tc>
          <w:tcPr>
            <w:tcW w:w="1526" w:type="dxa"/>
          </w:tcPr>
          <w:p w:rsidR="00215BD7" w:rsidRPr="004D06CC" w:rsidRDefault="00F03F35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35">
              <w:rPr>
                <w:rFonts w:ascii="Times New Roman" w:hAnsi="Times New Roman" w:cs="Times New Roman"/>
              </w:rPr>
              <w:t>Merieux</w:t>
            </w:r>
            <w:proofErr w:type="spellEnd"/>
          </w:p>
        </w:tc>
        <w:tc>
          <w:tcPr>
            <w:tcW w:w="1526" w:type="dxa"/>
          </w:tcPr>
          <w:p w:rsidR="00215BD7" w:rsidRPr="004D06CC" w:rsidRDefault="001138EA" w:rsidP="004D06CC">
            <w:pPr>
              <w:jc w:val="center"/>
              <w:rPr>
                <w:rFonts w:ascii="Times New Roman" w:hAnsi="Times New Roman" w:cs="Times New Roman"/>
              </w:rPr>
            </w:pPr>
            <w:r w:rsidRPr="001138EA">
              <w:rPr>
                <w:rFonts w:ascii="Times New Roman" w:hAnsi="Times New Roman" w:cs="Times New Roman"/>
              </w:rPr>
              <w:t>MLG</w:t>
            </w:r>
          </w:p>
        </w:tc>
        <w:tc>
          <w:tcPr>
            <w:tcW w:w="1526" w:type="dxa"/>
          </w:tcPr>
          <w:p w:rsidR="00215BD7" w:rsidRPr="004D06CC" w:rsidRDefault="001F14C9" w:rsidP="004D0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1526" w:type="dxa"/>
          </w:tcPr>
          <w:p w:rsidR="00215BD7" w:rsidRPr="004D06CC" w:rsidRDefault="006076D9" w:rsidP="004D06CC">
            <w:pPr>
              <w:jc w:val="center"/>
              <w:rPr>
                <w:rFonts w:ascii="Times New Roman" w:hAnsi="Times New Roman" w:cs="Times New Roman"/>
              </w:rPr>
            </w:pPr>
            <w:r w:rsidRPr="006076D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 w:rsidRPr="0024304F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 w:rsidRPr="0024304F">
              <w:rPr>
                <w:rFonts w:ascii="Times New Roman" w:hAnsi="Times New Roman" w:cs="Times New Roman"/>
              </w:rPr>
              <w:t>1 - 2 ч</w:t>
            </w:r>
          </w:p>
        </w:tc>
      </w:tr>
      <w:tr w:rsidR="00215BD7" w:rsidTr="00215BD7">
        <w:tc>
          <w:tcPr>
            <w:tcW w:w="1526" w:type="dxa"/>
          </w:tcPr>
          <w:p w:rsidR="00215BD7" w:rsidRPr="004D06CC" w:rsidRDefault="00B52C80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C80">
              <w:rPr>
                <w:rFonts w:ascii="Times New Roman" w:hAnsi="Times New Roman" w:cs="Times New Roman"/>
              </w:rPr>
              <w:t>Gelofusal</w:t>
            </w:r>
            <w:proofErr w:type="spellEnd"/>
            <w:r w:rsidRPr="00B52C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26" w:type="dxa"/>
          </w:tcPr>
          <w:p w:rsidR="00215BD7" w:rsidRPr="004D06CC" w:rsidRDefault="00F03F35" w:rsidP="004D0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35">
              <w:rPr>
                <w:rFonts w:ascii="Times New Roman" w:hAnsi="Times New Roman" w:cs="Times New Roman"/>
              </w:rPr>
              <w:t>Serumwerk</w:t>
            </w:r>
            <w:proofErr w:type="spellEnd"/>
            <w:r w:rsidRPr="00F03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F35">
              <w:rPr>
                <w:rFonts w:ascii="Times New Roman" w:hAnsi="Times New Roman" w:cs="Times New Roman"/>
              </w:rPr>
              <w:t>Bernburg</w:t>
            </w:r>
            <w:proofErr w:type="spellEnd"/>
          </w:p>
        </w:tc>
        <w:tc>
          <w:tcPr>
            <w:tcW w:w="1526" w:type="dxa"/>
          </w:tcPr>
          <w:p w:rsidR="00215BD7" w:rsidRPr="004D06CC" w:rsidRDefault="001138EA" w:rsidP="004D06CC">
            <w:pPr>
              <w:jc w:val="center"/>
              <w:rPr>
                <w:rFonts w:ascii="Times New Roman" w:hAnsi="Times New Roman" w:cs="Times New Roman"/>
              </w:rPr>
            </w:pPr>
            <w:r w:rsidRPr="001138EA">
              <w:rPr>
                <w:rFonts w:ascii="Times New Roman" w:hAnsi="Times New Roman" w:cs="Times New Roman"/>
              </w:rPr>
              <w:t>OPG</w:t>
            </w:r>
          </w:p>
        </w:tc>
        <w:tc>
          <w:tcPr>
            <w:tcW w:w="1526" w:type="dxa"/>
          </w:tcPr>
          <w:p w:rsidR="00215BD7" w:rsidRPr="004D06CC" w:rsidRDefault="009A560E" w:rsidP="004D06CC">
            <w:pPr>
              <w:jc w:val="center"/>
              <w:rPr>
                <w:rFonts w:ascii="Times New Roman" w:hAnsi="Times New Roman" w:cs="Times New Roman"/>
              </w:rPr>
            </w:pPr>
            <w:r w:rsidRPr="009A560E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1526" w:type="dxa"/>
          </w:tcPr>
          <w:p w:rsidR="00215BD7" w:rsidRPr="004D06CC" w:rsidRDefault="006076D9" w:rsidP="004D06CC">
            <w:pPr>
              <w:jc w:val="center"/>
              <w:rPr>
                <w:rFonts w:ascii="Times New Roman" w:hAnsi="Times New Roman" w:cs="Times New Roman"/>
              </w:rPr>
            </w:pPr>
            <w:r w:rsidRPr="006076D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</w:tcPr>
          <w:p w:rsidR="00215BD7" w:rsidRPr="004D06CC" w:rsidRDefault="0024304F" w:rsidP="004D0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7855" w:rsidRPr="00357855" w:rsidRDefault="00357855" w:rsidP="00357855">
      <w:pPr>
        <w:rPr>
          <w:rFonts w:ascii="Times New Roman" w:hAnsi="Times New Roman" w:cs="Times New Roman"/>
          <w:sz w:val="28"/>
          <w:szCs w:val="28"/>
        </w:rPr>
      </w:pPr>
      <w:r w:rsidRPr="00357855">
        <w:rPr>
          <w:rFonts w:ascii="Times New Roman" w:hAnsi="Times New Roman" w:cs="Times New Roman"/>
          <w:sz w:val="28"/>
          <w:szCs w:val="28"/>
        </w:rPr>
        <w:t xml:space="preserve">Представленные данные указывают, что средняя ММ большинства препаратов находится в пределах 30000-35000 Д. В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сравнениии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с ними, весовая ММ отечественного "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Желатиноля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" равна 20 000 Д </w:t>
      </w:r>
      <w:proofErr w:type="gramStart"/>
      <w:r w:rsidRPr="00357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 xml:space="preserve">диапазон молекулярно-массового </w:t>
      </w:r>
      <w:r w:rsidRPr="00357855">
        <w:rPr>
          <w:rFonts w:ascii="Times New Roman" w:hAnsi="Times New Roman" w:cs="Times New Roman"/>
          <w:sz w:val="28"/>
          <w:szCs w:val="28"/>
        </w:rPr>
        <w:lastRenderedPageBreak/>
        <w:t>распр</w:t>
      </w:r>
      <w:r w:rsidR="001F2FC2">
        <w:rPr>
          <w:rFonts w:ascii="Times New Roman" w:hAnsi="Times New Roman" w:cs="Times New Roman"/>
          <w:sz w:val="28"/>
          <w:szCs w:val="28"/>
        </w:rPr>
        <w:t xml:space="preserve">еделения от 5000 до 100000 Д ).                                                                              </w:t>
      </w:r>
      <w:r w:rsidRPr="00357855">
        <w:rPr>
          <w:rFonts w:ascii="Times New Roman" w:hAnsi="Times New Roman" w:cs="Times New Roman"/>
          <w:sz w:val="28"/>
          <w:szCs w:val="28"/>
        </w:rPr>
        <w:t>Учитывая, что основное клиническое назначение растворов желатины аналогично декстранам и направлено на возмещение дефицита ОЦК, следует отметить, что, по сравнению, с ними сила связывания воды желатиной намного меньше (объем замещения 50 - 70%) и эффект мене</w:t>
      </w:r>
      <w:r w:rsidR="001F2FC2">
        <w:rPr>
          <w:rFonts w:ascii="Times New Roman" w:hAnsi="Times New Roman" w:cs="Times New Roman"/>
          <w:sz w:val="28"/>
          <w:szCs w:val="28"/>
        </w:rPr>
        <w:t xml:space="preserve">е продолжителен (не более 2 ч).                   </w:t>
      </w:r>
      <w:r w:rsidRPr="00357855">
        <w:rPr>
          <w:rFonts w:ascii="Times New Roman" w:hAnsi="Times New Roman" w:cs="Times New Roman"/>
          <w:sz w:val="28"/>
          <w:szCs w:val="28"/>
        </w:rPr>
        <w:t xml:space="preserve">Наибольший интерес представляют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среды на основе модифицированного жидкого желатина, молекулы которого имеют вытянутую форму, что снижает их способность </w:t>
      </w:r>
      <w:proofErr w:type="spellStart"/>
      <w:proofErr w:type="gramStart"/>
      <w:r w:rsidRPr="00357855">
        <w:rPr>
          <w:rFonts w:ascii="Times New Roman" w:hAnsi="Times New Roman" w:cs="Times New Roman"/>
          <w:sz w:val="28"/>
          <w:szCs w:val="28"/>
        </w:rPr>
        <w:t>npox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>одить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через поры капилляров, тем самым у</w:t>
      </w:r>
      <w:r w:rsidR="001F2FC2">
        <w:rPr>
          <w:rFonts w:ascii="Times New Roman" w:hAnsi="Times New Roman" w:cs="Times New Roman"/>
          <w:sz w:val="28"/>
          <w:szCs w:val="28"/>
        </w:rPr>
        <w:t xml:space="preserve">величивая время циркуляции [7].                                                                                                      </w:t>
      </w:r>
      <w:r w:rsidRPr="00357855">
        <w:rPr>
          <w:rFonts w:ascii="Times New Roman" w:hAnsi="Times New Roman" w:cs="Times New Roman"/>
          <w:sz w:val="28"/>
          <w:szCs w:val="28"/>
        </w:rPr>
        <w:t xml:space="preserve">Важнейшей отличительной особенностью КПР на основе желатина является высокое КОД его растворов - в пределах 220-290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357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., что в 5-7 раз превышает КОД декстрана- 40 (40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.) и в 10-14 раз КОД плазмы крови. Именно </w:t>
      </w:r>
      <w:proofErr w:type="gramStart"/>
      <w:r w:rsidRPr="00357855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 xml:space="preserve"> КОД растворов желатины позволяет им удерживать воду в сосудистом русле и с</w:t>
      </w:r>
      <w:r w:rsidR="001F2FC2">
        <w:rPr>
          <w:rFonts w:ascii="Times New Roman" w:hAnsi="Times New Roman" w:cs="Times New Roman"/>
          <w:sz w:val="28"/>
          <w:szCs w:val="28"/>
        </w:rPr>
        <w:t xml:space="preserve">пособствовать нормализации ОЦК.                                                                                    </w:t>
      </w:r>
      <w:r w:rsidRPr="00357855">
        <w:rPr>
          <w:rFonts w:ascii="Times New Roman" w:hAnsi="Times New Roman" w:cs="Times New Roman"/>
          <w:sz w:val="28"/>
          <w:szCs w:val="28"/>
        </w:rPr>
        <w:t xml:space="preserve">Побочные эффекты растворов желатины сопоставимы с таковыми у декстранов. Повышенный выброс гистамина в ответ на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делает целесообразным назначение перед парентеральным введением данных растворов блокаторов Н</w:t>
      </w:r>
      <w:proofErr w:type="gramStart"/>
      <w:r w:rsidRPr="0035785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 xml:space="preserve">/Н2 рецепторов. Также настораживает возможность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гемореологичеоких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нарушений. В частности, речь идет об особенностях влиянии желатины на свертывающую систему крови (ССК). Однако, публикации по данному вопросу крайне противоречивы. Так, по мнению </w:t>
      </w:r>
      <w:proofErr w:type="gramStart"/>
      <w:r w:rsidRPr="00357855">
        <w:rPr>
          <w:rFonts w:ascii="Times New Roman" w:hAnsi="Times New Roman" w:cs="Times New Roman"/>
          <w:sz w:val="28"/>
          <w:szCs w:val="28"/>
        </w:rPr>
        <w:t>Франке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 xml:space="preserve"> Р., растворы желатины безопасны в отношении влияния на гемостаз, что позволяет клиницистам не ограничивать общую дозу при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инфузиях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[7]. Напротив, другими исследователями показано, что ра</w:t>
      </w:r>
      <w:r w:rsidR="00941A0F">
        <w:rPr>
          <w:rFonts w:ascii="Times New Roman" w:hAnsi="Times New Roman" w:cs="Times New Roman"/>
          <w:sz w:val="28"/>
          <w:szCs w:val="28"/>
        </w:rPr>
        <w:t>с</w:t>
      </w:r>
      <w:r w:rsidRPr="00357855">
        <w:rPr>
          <w:rFonts w:ascii="Times New Roman" w:hAnsi="Times New Roman" w:cs="Times New Roman"/>
          <w:sz w:val="28"/>
          <w:szCs w:val="28"/>
        </w:rPr>
        <w:t xml:space="preserve">творы желатина со </w:t>
      </w:r>
      <w:proofErr w:type="gramStart"/>
      <w:r w:rsidRPr="00357855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 xml:space="preserve"> ММ 35000 ускоряют реакцию образования "монетных столбиков" так же, как и декстран с ММ 75000. Под действием препаратов желатина повышается вязкость крови [2]. Есть и другие мнения. В частности,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Jacobson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>. [</w:t>
      </w:r>
      <w:proofErr w:type="gramStart"/>
      <w:r w:rsidRPr="00357855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et.al. [ ] указывают на увеличение под влиянием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желатинa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времени кровотечения, ухудшение формирование сгустка, ухудшение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аггрегации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тромбоцитов, что обусловлено повышенным содержанием в растворах ионов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++. Отечественной промышленностью разработан и выпускается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д</w:t>
      </w:r>
      <w:r w:rsidR="00F51FD0">
        <w:rPr>
          <w:rFonts w:ascii="Times New Roman" w:hAnsi="Times New Roman" w:cs="Times New Roman"/>
          <w:sz w:val="28"/>
          <w:szCs w:val="28"/>
        </w:rPr>
        <w:t>екальцифицированный</w:t>
      </w:r>
      <w:proofErr w:type="spellEnd"/>
      <w:r w:rsidR="00F51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D0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F51FD0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Pr="00357855">
        <w:rPr>
          <w:rFonts w:ascii="Times New Roman" w:hAnsi="Times New Roman" w:cs="Times New Roman"/>
          <w:sz w:val="28"/>
          <w:szCs w:val="28"/>
        </w:rPr>
        <w:t xml:space="preserve">Перспективным направлением в создании </w:t>
      </w:r>
      <w:proofErr w:type="gramStart"/>
      <w:r w:rsidRPr="00357855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 xml:space="preserve"> гетерогенных КПР следует считать разработку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конъюгатов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гидролизатов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желатины с декстранами. Препараты объединяют в себе свойства обеих классов КПР. Проведенные первые экспериментальные исследования в данном направлении да</w:t>
      </w:r>
      <w:r w:rsidR="001F2FC2">
        <w:rPr>
          <w:rFonts w:ascii="Times New Roman" w:hAnsi="Times New Roman" w:cs="Times New Roman"/>
          <w:sz w:val="28"/>
          <w:szCs w:val="28"/>
        </w:rPr>
        <w:t xml:space="preserve">ли положительный результат [3].                                                                                                                      </w:t>
      </w:r>
      <w:r w:rsidRPr="00357855">
        <w:rPr>
          <w:rFonts w:ascii="Times New Roman" w:hAnsi="Times New Roman" w:cs="Times New Roman"/>
          <w:sz w:val="28"/>
          <w:szCs w:val="28"/>
        </w:rPr>
        <w:t xml:space="preserve">Повышение эффективности биологических свойств коллоидных кровезаменителей связывают с созданием комплексного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плазмозаменителя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, способного </w:t>
      </w:r>
      <w:r w:rsidR="00EB56EE">
        <w:rPr>
          <w:rFonts w:ascii="Times New Roman" w:hAnsi="Times New Roman" w:cs="Times New Roman"/>
          <w:sz w:val="28"/>
          <w:szCs w:val="28"/>
        </w:rPr>
        <w:t>нормализовать не только гемодин</w:t>
      </w:r>
      <w:r w:rsidRPr="00357855">
        <w:rPr>
          <w:rFonts w:ascii="Times New Roman" w:hAnsi="Times New Roman" w:cs="Times New Roman"/>
          <w:sz w:val="28"/>
          <w:szCs w:val="28"/>
        </w:rPr>
        <w:t xml:space="preserve">амику и энергетический обмен, но и устранять явления метаболического ацидоза и гипоксии. Данные свойства достигаются с включением в состав различных коллоидных растворов </w:t>
      </w:r>
      <w:proofErr w:type="gramStart"/>
      <w:r w:rsidRPr="00357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7855">
        <w:rPr>
          <w:rFonts w:ascii="Times New Roman" w:hAnsi="Times New Roman" w:cs="Times New Roman"/>
          <w:sz w:val="28"/>
          <w:szCs w:val="28"/>
        </w:rPr>
        <w:t xml:space="preserve">декстраны, производные желатины)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натрия. Наличие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антигипоксанта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инфузионном</w:t>
      </w:r>
      <w:proofErr w:type="spellEnd"/>
      <w:r w:rsidRPr="00357855">
        <w:rPr>
          <w:rFonts w:ascii="Times New Roman" w:hAnsi="Times New Roman" w:cs="Times New Roman"/>
          <w:sz w:val="28"/>
          <w:szCs w:val="28"/>
        </w:rPr>
        <w:t xml:space="preserve"> растворе способствует </w:t>
      </w:r>
      <w:r w:rsidRPr="00357855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восстановлению клеточных процессов окислительного метаболизма в условиях недостаточного </w:t>
      </w:r>
      <w:proofErr w:type="spellStart"/>
      <w:r w:rsidRPr="00357855">
        <w:rPr>
          <w:rFonts w:ascii="Times New Roman" w:hAnsi="Times New Roman" w:cs="Times New Roman"/>
          <w:sz w:val="28"/>
          <w:szCs w:val="28"/>
        </w:rPr>
        <w:t>кислородо</w:t>
      </w:r>
      <w:proofErr w:type="spellEnd"/>
      <w:r w:rsidR="001933F0">
        <w:rPr>
          <w:rFonts w:ascii="Times New Roman" w:hAnsi="Times New Roman" w:cs="Times New Roman"/>
          <w:sz w:val="28"/>
          <w:szCs w:val="28"/>
        </w:rPr>
        <w:t>-</w:t>
      </w:r>
      <w:r w:rsidRPr="00357855">
        <w:rPr>
          <w:rFonts w:ascii="Times New Roman" w:hAnsi="Times New Roman" w:cs="Times New Roman"/>
          <w:sz w:val="28"/>
          <w:szCs w:val="28"/>
        </w:rPr>
        <w:t>обеспечения тканей, а также корригирует кислотно-основное состояние организма.</w:t>
      </w:r>
    </w:p>
    <w:p w:rsidR="00C35BCB" w:rsidRDefault="001F2FC2" w:rsidP="00357855">
      <w:pPr>
        <w:rPr>
          <w:rFonts w:ascii="Times New Roman" w:hAnsi="Times New Roman" w:cs="Times New Roman"/>
          <w:sz w:val="28"/>
          <w:szCs w:val="28"/>
        </w:rPr>
      </w:pPr>
      <w:r w:rsidRPr="00BB47A9">
        <w:rPr>
          <w:rFonts w:ascii="Times New Roman" w:hAnsi="Times New Roman" w:cs="Times New Roman"/>
          <w:b/>
          <w:sz w:val="28"/>
          <w:szCs w:val="28"/>
        </w:rPr>
        <w:t>КРАХМАЛ.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57855" w:rsidRPr="00357855"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оксиэтилированного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крахмала производятся с начала 60-х годов. За последнее десятилетие во многих странах мира данный класс КПР стал ведущим среди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плазмозаменителей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7855" w:rsidRPr="00357855">
        <w:rPr>
          <w:rFonts w:ascii="Times New Roman" w:hAnsi="Times New Roman" w:cs="Times New Roman"/>
          <w:sz w:val="28"/>
          <w:szCs w:val="28"/>
        </w:rPr>
        <w:t>отодвинув на второй план де</w:t>
      </w:r>
      <w:r w:rsidR="00BF1C92">
        <w:rPr>
          <w:rFonts w:ascii="Times New Roman" w:hAnsi="Times New Roman" w:cs="Times New Roman"/>
          <w:sz w:val="28"/>
          <w:szCs w:val="28"/>
        </w:rPr>
        <w:t>кстраны и производные</w:t>
      </w:r>
      <w:proofErr w:type="gramEnd"/>
      <w:r w:rsidR="00BF1C92">
        <w:rPr>
          <w:rFonts w:ascii="Times New Roman" w:hAnsi="Times New Roman" w:cs="Times New Roman"/>
          <w:sz w:val="28"/>
          <w:szCs w:val="28"/>
        </w:rPr>
        <w:t xml:space="preserve"> желатины.                                                                                                             </w:t>
      </w:r>
      <w:r w:rsidR="00357855" w:rsidRPr="00357855">
        <w:rPr>
          <w:rFonts w:ascii="Times New Roman" w:hAnsi="Times New Roman" w:cs="Times New Roman"/>
          <w:sz w:val="28"/>
          <w:szCs w:val="28"/>
        </w:rPr>
        <w:t xml:space="preserve">Фармакологический рынок нашей страны также достаточно насыщен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плазмозаменителями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гидроксиэтилового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крахмала (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ГЭКа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среды, как HAES-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стерил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- 6%, HAES-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стерил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- 10%,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Плазмастерил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(продукция фирмы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Fresenius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- плюс,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Стабизол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(продукция фирмы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Berlin-Chemie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Волекам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(Россия) интенсивно применяются на этапах лечения больных с геморрагическим, травматическим, септическим и ожоговым шоками, а также при экстремальных ситуациях, когда имеет место выраженный дефицит ОЦК, снижение сердечного выброса и </w:t>
      </w:r>
      <w:r w:rsidR="00BF1C92">
        <w:rPr>
          <w:rFonts w:ascii="Times New Roman" w:hAnsi="Times New Roman" w:cs="Times New Roman"/>
          <w:sz w:val="28"/>
          <w:szCs w:val="28"/>
        </w:rPr>
        <w:t>нарушение транспорта кислорода.</w:t>
      </w:r>
      <w:proofErr w:type="gramEnd"/>
      <w:r w:rsidR="00BF1C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7855" w:rsidRPr="00357855">
        <w:rPr>
          <w:rFonts w:ascii="Times New Roman" w:hAnsi="Times New Roman" w:cs="Times New Roman"/>
          <w:sz w:val="28"/>
          <w:szCs w:val="28"/>
        </w:rPr>
        <w:t xml:space="preserve">Сырьем для производства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растворов крахмала являются крахмал кукурузы восковой спелости и картофельный крахмал. Основными параметрами, отражающими, как физико-химические свойства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ГЭКов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, так и отличительные особенности их различных представителей являются: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Mw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- молекулярный вес; MS - молекулярное замещение; DS - степень замещения</w:t>
      </w:r>
      <w:proofErr w:type="gramStart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В качестве примера имеющихся отличий в таблице № 3 приведены основные характеристики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плазмастерила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и HAES-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стерила</w:t>
      </w:r>
      <w:proofErr w:type="spellEnd"/>
      <w:r w:rsidR="00357855" w:rsidRPr="00357855">
        <w:rPr>
          <w:rFonts w:ascii="Times New Roman" w:hAnsi="Times New Roman" w:cs="Times New Roman"/>
          <w:sz w:val="28"/>
          <w:szCs w:val="28"/>
        </w:rPr>
        <w:t xml:space="preserve"> 6%.</w:t>
      </w:r>
      <w:r w:rsidR="00841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57855" w:rsidRPr="00357855">
        <w:rPr>
          <w:rFonts w:ascii="Times New Roman" w:hAnsi="Times New Roman" w:cs="Times New Roman"/>
          <w:sz w:val="28"/>
          <w:szCs w:val="28"/>
        </w:rPr>
        <w:t xml:space="preserve">Таблица 3. Сравнительная характеристика растворов </w:t>
      </w:r>
      <w:proofErr w:type="spellStart"/>
      <w:r w:rsidR="00357855" w:rsidRPr="00357855">
        <w:rPr>
          <w:rFonts w:ascii="Times New Roman" w:hAnsi="Times New Roman" w:cs="Times New Roman"/>
          <w:sz w:val="28"/>
          <w:szCs w:val="28"/>
        </w:rPr>
        <w:t>гидро</w:t>
      </w:r>
      <w:r w:rsidR="00AB4533">
        <w:rPr>
          <w:rFonts w:ascii="Times New Roman" w:hAnsi="Times New Roman" w:cs="Times New Roman"/>
          <w:sz w:val="28"/>
          <w:szCs w:val="28"/>
        </w:rPr>
        <w:t>кс</w:t>
      </w:r>
      <w:r w:rsidR="00357855" w:rsidRPr="00357855">
        <w:rPr>
          <w:rFonts w:ascii="Times New Roman" w:hAnsi="Times New Roman" w:cs="Times New Roman"/>
          <w:sz w:val="28"/>
          <w:szCs w:val="28"/>
        </w:rPr>
        <w:t>иэтилкрахмала</w:t>
      </w:r>
      <w:proofErr w:type="spellEnd"/>
      <w:r w:rsidR="003578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57855" w:rsidTr="00357855">
        <w:tc>
          <w:tcPr>
            <w:tcW w:w="3560" w:type="dxa"/>
          </w:tcPr>
          <w:p w:rsidR="00384CF1" w:rsidRPr="00384CF1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Состав раствора крахмала</w:t>
            </w:r>
          </w:p>
          <w:p w:rsidR="00357855" w:rsidRPr="00384CF1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в 1л раствора</w:t>
            </w:r>
          </w:p>
        </w:tc>
        <w:tc>
          <w:tcPr>
            <w:tcW w:w="3561" w:type="dxa"/>
          </w:tcPr>
          <w:p w:rsidR="00357855" w:rsidRPr="00384CF1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ПЛАЗМАСТЕРИЛ</w:t>
            </w:r>
          </w:p>
        </w:tc>
        <w:tc>
          <w:tcPr>
            <w:tcW w:w="3561" w:type="dxa"/>
          </w:tcPr>
          <w:p w:rsidR="00357855" w:rsidRPr="00384CF1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HAES-СТЕРИЛ 6%</w:t>
            </w:r>
          </w:p>
        </w:tc>
      </w:tr>
      <w:tr w:rsidR="00357855" w:rsidTr="00357855">
        <w:tc>
          <w:tcPr>
            <w:tcW w:w="3560" w:type="dxa"/>
          </w:tcPr>
          <w:p w:rsidR="00357855" w:rsidRPr="00384CF1" w:rsidRDefault="00384CF1" w:rsidP="00384CF1">
            <w:pPr>
              <w:jc w:val="center"/>
              <w:rPr>
                <w:rFonts w:ascii="Times New Roman" w:hAnsi="Times New Roman" w:cs="Times New Roman"/>
              </w:rPr>
            </w:pPr>
            <w:r w:rsidRPr="00384CF1">
              <w:rPr>
                <w:rFonts w:ascii="Times New Roman" w:hAnsi="Times New Roman" w:cs="Times New Roman"/>
              </w:rPr>
              <w:t>Пол</w:t>
            </w:r>
            <w:proofErr w:type="gramStart"/>
            <w:r w:rsidRPr="00384CF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384CF1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384CF1">
              <w:rPr>
                <w:rFonts w:ascii="Times New Roman" w:hAnsi="Times New Roman" w:cs="Times New Roman"/>
              </w:rPr>
              <w:t xml:space="preserve"> крахмал )</w:t>
            </w:r>
          </w:p>
        </w:tc>
        <w:tc>
          <w:tcPr>
            <w:tcW w:w="3561" w:type="dxa"/>
          </w:tcPr>
          <w:p w:rsidR="00357855" w:rsidRPr="00384CF1" w:rsidRDefault="00384CF1" w:rsidP="00384CF1">
            <w:pPr>
              <w:jc w:val="center"/>
              <w:rPr>
                <w:rFonts w:ascii="Times New Roman" w:hAnsi="Times New Roman" w:cs="Times New Roman"/>
              </w:rPr>
            </w:pPr>
            <w:r w:rsidRPr="00384CF1">
              <w:rPr>
                <w:rFonts w:ascii="Times New Roman" w:hAnsi="Times New Roman" w:cs="Times New Roman"/>
              </w:rPr>
              <w:t>60,0 г</w:t>
            </w:r>
          </w:p>
        </w:tc>
        <w:tc>
          <w:tcPr>
            <w:tcW w:w="3561" w:type="dxa"/>
          </w:tcPr>
          <w:p w:rsidR="00357855" w:rsidRPr="00384CF1" w:rsidRDefault="00384CF1" w:rsidP="00384CF1">
            <w:pPr>
              <w:jc w:val="center"/>
              <w:rPr>
                <w:rFonts w:ascii="Times New Roman" w:hAnsi="Times New Roman" w:cs="Times New Roman"/>
              </w:rPr>
            </w:pPr>
            <w:r w:rsidRPr="00384CF1">
              <w:rPr>
                <w:rFonts w:ascii="Times New Roman" w:hAnsi="Times New Roman" w:cs="Times New Roman"/>
              </w:rPr>
              <w:t>60,0 г</w:t>
            </w:r>
          </w:p>
        </w:tc>
      </w:tr>
      <w:tr w:rsidR="00357855" w:rsidTr="00357855">
        <w:tc>
          <w:tcPr>
            <w:tcW w:w="3560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r w:rsidRPr="00FD6A0B">
              <w:rPr>
                <w:rFonts w:ascii="Times New Roman" w:hAnsi="Times New Roman" w:cs="Times New Roman"/>
              </w:rPr>
              <w:t>Степень замещения</w:t>
            </w:r>
          </w:p>
        </w:tc>
        <w:tc>
          <w:tcPr>
            <w:tcW w:w="3561" w:type="dxa"/>
          </w:tcPr>
          <w:p w:rsidR="00357855" w:rsidRPr="00384CF1" w:rsidRDefault="006E69F9" w:rsidP="00384CF1">
            <w:pPr>
              <w:jc w:val="center"/>
              <w:rPr>
                <w:rFonts w:ascii="Times New Roman" w:hAnsi="Times New Roman" w:cs="Times New Roman"/>
              </w:rPr>
            </w:pPr>
            <w:r w:rsidRPr="006E69F9">
              <w:rPr>
                <w:rFonts w:ascii="Times New Roman" w:hAnsi="Times New Roman" w:cs="Times New Roman"/>
              </w:rPr>
              <w:t>0,70 -0,80</w:t>
            </w:r>
          </w:p>
        </w:tc>
        <w:tc>
          <w:tcPr>
            <w:tcW w:w="3561" w:type="dxa"/>
          </w:tcPr>
          <w:p w:rsidR="00357855" w:rsidRPr="00384CF1" w:rsidRDefault="006E69F9" w:rsidP="00384CF1">
            <w:pPr>
              <w:jc w:val="center"/>
              <w:rPr>
                <w:rFonts w:ascii="Times New Roman" w:hAnsi="Times New Roman" w:cs="Times New Roman"/>
              </w:rPr>
            </w:pPr>
            <w:r w:rsidRPr="006E69F9">
              <w:rPr>
                <w:rFonts w:ascii="Times New Roman" w:hAnsi="Times New Roman" w:cs="Times New Roman"/>
              </w:rPr>
              <w:t>0,4 -0,55</w:t>
            </w:r>
          </w:p>
        </w:tc>
      </w:tr>
      <w:tr w:rsidR="00357855" w:rsidTr="00357855">
        <w:tc>
          <w:tcPr>
            <w:tcW w:w="3560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6A0B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FD6A0B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3561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r w:rsidRPr="00FD6A0B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3561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r w:rsidRPr="00FD6A0B">
              <w:rPr>
                <w:rFonts w:ascii="Times New Roman" w:hAnsi="Times New Roman" w:cs="Times New Roman"/>
              </w:rPr>
              <w:t>200000</w:t>
            </w:r>
          </w:p>
        </w:tc>
      </w:tr>
      <w:tr w:rsidR="00357855" w:rsidTr="00357855">
        <w:tc>
          <w:tcPr>
            <w:tcW w:w="3560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r w:rsidRPr="00FD6A0B">
              <w:rPr>
                <w:rFonts w:ascii="Times New Roman" w:hAnsi="Times New Roman" w:cs="Times New Roman"/>
              </w:rPr>
              <w:t>Хлорид натрия</w:t>
            </w:r>
          </w:p>
        </w:tc>
        <w:tc>
          <w:tcPr>
            <w:tcW w:w="3561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r w:rsidRPr="00FD6A0B">
              <w:rPr>
                <w:rFonts w:ascii="Times New Roman" w:hAnsi="Times New Roman" w:cs="Times New Roman"/>
              </w:rPr>
              <w:t>9,0 г</w:t>
            </w:r>
          </w:p>
        </w:tc>
        <w:tc>
          <w:tcPr>
            <w:tcW w:w="3561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r w:rsidRPr="00FD6A0B">
              <w:rPr>
                <w:rFonts w:ascii="Times New Roman" w:hAnsi="Times New Roman" w:cs="Times New Roman"/>
              </w:rPr>
              <w:t>9,0 г</w:t>
            </w:r>
          </w:p>
        </w:tc>
      </w:tr>
      <w:tr w:rsidR="00357855" w:rsidTr="00357855">
        <w:tc>
          <w:tcPr>
            <w:tcW w:w="3560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A0B">
              <w:rPr>
                <w:rFonts w:ascii="Times New Roman" w:hAnsi="Times New Roman" w:cs="Times New Roman"/>
              </w:rPr>
              <w:t>Осмолярность</w:t>
            </w:r>
            <w:proofErr w:type="spellEnd"/>
          </w:p>
        </w:tc>
        <w:tc>
          <w:tcPr>
            <w:tcW w:w="3561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r w:rsidRPr="00FD6A0B">
              <w:rPr>
                <w:rFonts w:ascii="Times New Roman" w:hAnsi="Times New Roman" w:cs="Times New Roman"/>
              </w:rPr>
              <w:t xml:space="preserve">309 </w:t>
            </w:r>
            <w:proofErr w:type="spellStart"/>
            <w:r w:rsidRPr="00FD6A0B">
              <w:rPr>
                <w:rFonts w:ascii="Times New Roman" w:hAnsi="Times New Roman" w:cs="Times New Roman"/>
              </w:rPr>
              <w:t>мосм</w:t>
            </w:r>
            <w:proofErr w:type="spellEnd"/>
            <w:r w:rsidRPr="00FD6A0B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561" w:type="dxa"/>
          </w:tcPr>
          <w:p w:rsidR="00357855" w:rsidRPr="00384CF1" w:rsidRDefault="00FD6A0B" w:rsidP="00384CF1">
            <w:pPr>
              <w:jc w:val="center"/>
              <w:rPr>
                <w:rFonts w:ascii="Times New Roman" w:hAnsi="Times New Roman" w:cs="Times New Roman"/>
              </w:rPr>
            </w:pPr>
            <w:r w:rsidRPr="00FD6A0B">
              <w:rPr>
                <w:rFonts w:ascii="Times New Roman" w:hAnsi="Times New Roman" w:cs="Times New Roman"/>
              </w:rPr>
              <w:t xml:space="preserve">309 </w:t>
            </w:r>
            <w:proofErr w:type="spellStart"/>
            <w:r w:rsidRPr="00FD6A0B">
              <w:rPr>
                <w:rFonts w:ascii="Times New Roman" w:hAnsi="Times New Roman" w:cs="Times New Roman"/>
              </w:rPr>
              <w:t>мосм</w:t>
            </w:r>
            <w:proofErr w:type="spellEnd"/>
            <w:r w:rsidRPr="00FD6A0B">
              <w:rPr>
                <w:rFonts w:ascii="Times New Roman" w:hAnsi="Times New Roman" w:cs="Times New Roman"/>
              </w:rPr>
              <w:t>/л</w:t>
            </w:r>
          </w:p>
        </w:tc>
      </w:tr>
    </w:tbl>
    <w:p w:rsidR="00357855" w:rsidRDefault="0055654E" w:rsidP="0055654E">
      <w:pPr>
        <w:rPr>
          <w:rFonts w:ascii="Times New Roman" w:hAnsi="Times New Roman" w:cs="Times New Roman"/>
          <w:sz w:val="28"/>
          <w:szCs w:val="28"/>
        </w:rPr>
      </w:pPr>
      <w:r w:rsidRPr="0071088B">
        <w:rPr>
          <w:rFonts w:ascii="Times New Roman" w:hAnsi="Times New Roman" w:cs="Times New Roman"/>
          <w:b/>
          <w:sz w:val="28"/>
          <w:szCs w:val="28"/>
        </w:rPr>
        <w:t>Величина MS</w:t>
      </w:r>
      <w:r w:rsidRPr="0055654E">
        <w:rPr>
          <w:rFonts w:ascii="Times New Roman" w:hAnsi="Times New Roman" w:cs="Times New Roman"/>
          <w:sz w:val="28"/>
          <w:szCs w:val="28"/>
        </w:rPr>
        <w:t xml:space="preserve"> </w:t>
      </w:r>
      <w:r w:rsidR="0071088B">
        <w:rPr>
          <w:rFonts w:ascii="Times New Roman" w:hAnsi="Times New Roman" w:cs="Times New Roman"/>
          <w:sz w:val="28"/>
          <w:szCs w:val="28"/>
        </w:rPr>
        <w:t>(</w:t>
      </w:r>
      <w:r w:rsidR="0071088B" w:rsidRPr="00357855">
        <w:rPr>
          <w:rFonts w:ascii="Times New Roman" w:hAnsi="Times New Roman" w:cs="Times New Roman"/>
          <w:sz w:val="28"/>
          <w:szCs w:val="28"/>
        </w:rPr>
        <w:t>молекулярное замещение</w:t>
      </w:r>
      <w:r w:rsidR="0071088B">
        <w:rPr>
          <w:rFonts w:ascii="Times New Roman" w:hAnsi="Times New Roman" w:cs="Times New Roman"/>
          <w:sz w:val="28"/>
          <w:szCs w:val="28"/>
        </w:rPr>
        <w:t>)</w:t>
      </w:r>
      <w:r w:rsidR="0071088B" w:rsidRPr="0055654E">
        <w:rPr>
          <w:rFonts w:ascii="Times New Roman" w:hAnsi="Times New Roman" w:cs="Times New Roman"/>
          <w:sz w:val="28"/>
          <w:szCs w:val="28"/>
        </w:rPr>
        <w:t xml:space="preserve"> </w:t>
      </w:r>
      <w:r w:rsidRPr="0055654E">
        <w:rPr>
          <w:rFonts w:ascii="Times New Roman" w:hAnsi="Times New Roman" w:cs="Times New Roman"/>
          <w:sz w:val="28"/>
          <w:szCs w:val="28"/>
        </w:rPr>
        <w:t>является основным показателем, отражающим время циркуляции крахмала в сосудистом русле</w:t>
      </w:r>
      <w:proofErr w:type="gramStart"/>
      <w:r w:rsidRPr="005565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5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654E">
        <w:rPr>
          <w:rFonts w:ascii="Times New Roman" w:hAnsi="Times New Roman" w:cs="Times New Roman"/>
          <w:sz w:val="28"/>
          <w:szCs w:val="28"/>
        </w:rPr>
        <w:t xml:space="preserve"> представляет собой среднее число гидроксильных групп, приходящихся на глюкозную единицу. Данная величина в зависимости от заданных свойств может находиться в пределах 0,4 - 0,8. Показано, что ГЭК с MS 0,8 сохраняется в крови в течени</w:t>
      </w:r>
      <w:proofErr w:type="gramStart"/>
      <w:r w:rsidRPr="005565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654E">
        <w:rPr>
          <w:rFonts w:ascii="Times New Roman" w:hAnsi="Times New Roman" w:cs="Times New Roman"/>
          <w:sz w:val="28"/>
          <w:szCs w:val="28"/>
        </w:rPr>
        <w:t xml:space="preserve"> 60 суток, а с MS 0,55 - на протяжении 10 суток. Период полувыведения препарата с </w:t>
      </w:r>
      <w:r w:rsidRPr="00841030">
        <w:rPr>
          <w:rFonts w:ascii="Times New Roman" w:hAnsi="Times New Roman" w:cs="Times New Roman"/>
          <w:b/>
          <w:sz w:val="28"/>
          <w:szCs w:val="28"/>
        </w:rPr>
        <w:t>DS</w:t>
      </w:r>
      <w:r w:rsidRPr="0055654E">
        <w:rPr>
          <w:rFonts w:ascii="Times New Roman" w:hAnsi="Times New Roman" w:cs="Times New Roman"/>
          <w:sz w:val="28"/>
          <w:szCs w:val="28"/>
        </w:rPr>
        <w:t xml:space="preserve"> </w:t>
      </w:r>
      <w:r w:rsidR="00354847">
        <w:rPr>
          <w:rFonts w:ascii="Times New Roman" w:hAnsi="Times New Roman" w:cs="Times New Roman"/>
          <w:sz w:val="28"/>
          <w:szCs w:val="28"/>
        </w:rPr>
        <w:t>(</w:t>
      </w:r>
      <w:r w:rsidR="00354847" w:rsidRPr="00357855">
        <w:rPr>
          <w:rFonts w:ascii="Times New Roman" w:hAnsi="Times New Roman" w:cs="Times New Roman"/>
          <w:sz w:val="28"/>
          <w:szCs w:val="28"/>
        </w:rPr>
        <w:t>степень замещения</w:t>
      </w:r>
      <w:r w:rsidR="00354847">
        <w:rPr>
          <w:rFonts w:ascii="Times New Roman" w:hAnsi="Times New Roman" w:cs="Times New Roman"/>
          <w:sz w:val="28"/>
          <w:szCs w:val="28"/>
        </w:rPr>
        <w:t>)</w:t>
      </w:r>
      <w:r w:rsidR="00354847" w:rsidRPr="0035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54E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55654E">
        <w:rPr>
          <w:rFonts w:ascii="Times New Roman" w:hAnsi="Times New Roman" w:cs="Times New Roman"/>
          <w:sz w:val="28"/>
          <w:szCs w:val="28"/>
        </w:rPr>
        <w:t xml:space="preserve"> 0,7 составляет до 2 суток, при 0,6 - 10 ч,</w:t>
      </w:r>
      <w:r>
        <w:rPr>
          <w:rFonts w:ascii="Times New Roman" w:hAnsi="Times New Roman" w:cs="Times New Roman"/>
          <w:sz w:val="28"/>
          <w:szCs w:val="28"/>
        </w:rPr>
        <w:t xml:space="preserve"> а при 0,4-0,55 еще меньше [6].                                                                                               </w:t>
      </w:r>
      <w:r w:rsidRPr="0055654E">
        <w:rPr>
          <w:rFonts w:ascii="Times New Roman" w:hAnsi="Times New Roman" w:cs="Times New Roman"/>
          <w:sz w:val="28"/>
          <w:szCs w:val="28"/>
        </w:rPr>
        <w:t xml:space="preserve">Молекулярный вес различных растворов ГЭК представлен препаратами с </w:t>
      </w:r>
      <w:proofErr w:type="spellStart"/>
      <w:r w:rsidRPr="00841030">
        <w:rPr>
          <w:rFonts w:ascii="Times New Roman" w:hAnsi="Times New Roman" w:cs="Times New Roman"/>
          <w:b/>
          <w:sz w:val="28"/>
          <w:szCs w:val="28"/>
        </w:rPr>
        <w:t>Mw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от 170000 (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Волекам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) до 450000 (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плазмастерил</w:t>
      </w:r>
      <w:proofErr w:type="spellEnd"/>
      <w:proofErr w:type="gramStart"/>
      <w:r w:rsidRPr="0055654E">
        <w:rPr>
          <w:rFonts w:ascii="Times New Roman" w:hAnsi="Times New Roman" w:cs="Times New Roman"/>
          <w:sz w:val="28"/>
          <w:szCs w:val="28"/>
        </w:rPr>
        <w:t xml:space="preserve">).. </w:t>
      </w:r>
      <w:proofErr w:type="gramEnd"/>
      <w:r w:rsidRPr="0055654E">
        <w:rPr>
          <w:rFonts w:ascii="Times New Roman" w:hAnsi="Times New Roman" w:cs="Times New Roman"/>
          <w:sz w:val="28"/>
          <w:szCs w:val="28"/>
        </w:rPr>
        <w:t xml:space="preserve">Чем меньше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Mw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и MS , тем меньше время циркуляции препарата в плазме. Данный аспект следует учитывать при выборе конкретного препарата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ГЭКа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для проведения целена</w:t>
      </w:r>
      <w:r>
        <w:rPr>
          <w:rFonts w:ascii="Times New Roman" w:hAnsi="Times New Roman" w:cs="Times New Roman"/>
          <w:sz w:val="28"/>
          <w:szCs w:val="28"/>
        </w:rPr>
        <w:t xml:space="preserve">правленной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терапии.                                                                                                                          </w:t>
      </w:r>
      <w:r w:rsidRPr="0055654E">
        <w:rPr>
          <w:rFonts w:ascii="Times New Roman" w:hAnsi="Times New Roman" w:cs="Times New Roman"/>
          <w:sz w:val="28"/>
          <w:szCs w:val="28"/>
        </w:rPr>
        <w:t xml:space="preserve">Характерно, что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растворов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ГЭКа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незначительно превышает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плазмы крови и составляет в среднем 300 - 309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/л, а значения КОД для 10% и 6% растворов крахмала равны соответственно 68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5565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654E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. и 36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что в целом делает растворы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</w:t>
      </w:r>
      <w:r w:rsidRPr="0055654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более предпочтительными для возмещения дефицита ОЦК. </w:t>
      </w:r>
      <w:proofErr w:type="gramStart"/>
      <w:r w:rsidRPr="0055654E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из причин длительной задержки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</w:t>
      </w:r>
      <w:r w:rsidRPr="0055654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в сосудистом русле считается его способность образовывать комплекс с амилазой,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чего получается соединение с большей относительной ММ.</w:t>
      </w:r>
      <w:proofErr w:type="gramEnd"/>
      <w:r w:rsidRPr="0055654E">
        <w:rPr>
          <w:rFonts w:ascii="Times New Roman" w:hAnsi="Times New Roman" w:cs="Times New Roman"/>
          <w:sz w:val="28"/>
          <w:szCs w:val="28"/>
        </w:rPr>
        <w:t xml:space="preserve"> Отмечено, что на фоне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гидроксиэтилкрахмала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из картофеля, по сравнению с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гидроксиэтилкрахмалом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из кукурузы, активность альфа-амилазы различна и составляет соответственно 168</w:t>
      </w:r>
      <w:r>
        <w:rPr>
          <w:rFonts w:ascii="Times New Roman" w:hAnsi="Times New Roman" w:cs="Times New Roman"/>
          <w:sz w:val="28"/>
          <w:szCs w:val="28"/>
        </w:rPr>
        <w:t xml:space="preserve"> ± 75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/л и 180 ± 51 ЕД/л [1].                              </w:t>
      </w:r>
      <w:r w:rsidRPr="0055654E">
        <w:rPr>
          <w:rFonts w:ascii="Times New Roman" w:hAnsi="Times New Roman" w:cs="Times New Roman"/>
          <w:sz w:val="28"/>
          <w:szCs w:val="28"/>
        </w:rPr>
        <w:t xml:space="preserve">Обобщающие эффекты клинического применения растворов на основе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гидроксиэтилкрахмала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у больных с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гиповолемией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шоком представлены на схеме. </w:t>
      </w:r>
      <w:r w:rsidRPr="0055654E">
        <w:rPr>
          <w:rFonts w:ascii="Times New Roman" w:hAnsi="Times New Roman" w:cs="Times New Roman"/>
          <w:sz w:val="28"/>
          <w:szCs w:val="28"/>
        </w:rPr>
        <w:t xml:space="preserve">Дальнейшее повышение эффективности гемодинамического действия растворов крахмала связывают с разработкой комплексного препарата на основе </w:t>
      </w:r>
      <w:proofErr w:type="spellStart"/>
      <w:r w:rsidRPr="0055654E">
        <w:rPr>
          <w:rFonts w:ascii="Times New Roman" w:hAnsi="Times New Roman" w:cs="Times New Roman"/>
          <w:sz w:val="28"/>
          <w:szCs w:val="28"/>
        </w:rPr>
        <w:t>ГЭКа</w:t>
      </w:r>
      <w:proofErr w:type="spellEnd"/>
      <w:r w:rsidRPr="0055654E">
        <w:rPr>
          <w:rFonts w:ascii="Times New Roman" w:hAnsi="Times New Roman" w:cs="Times New Roman"/>
          <w:sz w:val="28"/>
          <w:szCs w:val="28"/>
        </w:rPr>
        <w:t xml:space="preserve"> и гипертонического раствора </w:t>
      </w:r>
      <w:proofErr w:type="gramStart"/>
      <w:r w:rsidRPr="005565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654E">
        <w:rPr>
          <w:rFonts w:ascii="Times New Roman" w:hAnsi="Times New Roman" w:cs="Times New Roman"/>
          <w:sz w:val="28"/>
          <w:szCs w:val="28"/>
        </w:rPr>
        <w:t>7,5%) хлорида натрия.</w:t>
      </w:r>
    </w:p>
    <w:p w:rsidR="0055654E" w:rsidRDefault="0055654E" w:rsidP="005565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A146DE" wp14:editId="6B28AD01">
            <wp:extent cx="533400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C2" w:rsidRPr="001F2FC2" w:rsidRDefault="001F2FC2" w:rsidP="001F2FC2">
      <w:pPr>
        <w:rPr>
          <w:rFonts w:ascii="Times New Roman" w:hAnsi="Times New Roman" w:cs="Times New Roman"/>
          <w:sz w:val="28"/>
          <w:szCs w:val="28"/>
        </w:rPr>
      </w:pPr>
      <w:r w:rsidRPr="001F2FC2">
        <w:rPr>
          <w:rFonts w:ascii="Times New Roman" w:hAnsi="Times New Roman" w:cs="Times New Roman"/>
          <w:sz w:val="28"/>
          <w:szCs w:val="28"/>
        </w:rPr>
        <w:t>Безусловно, создание кровезаменителей не опосредуется только разработкой новых и совершенствованием хорошо известных гетерогенных КПР. Большие надежды связывают</w:t>
      </w:r>
      <w:r w:rsidR="004A0B1A">
        <w:rPr>
          <w:rFonts w:ascii="Times New Roman" w:hAnsi="Times New Roman" w:cs="Times New Roman"/>
          <w:sz w:val="28"/>
          <w:szCs w:val="28"/>
        </w:rPr>
        <w:t xml:space="preserve"> с клиническим внедрением </w:t>
      </w:r>
      <w:proofErr w:type="spellStart"/>
      <w:r w:rsidR="004A0B1A">
        <w:rPr>
          <w:rFonts w:ascii="Times New Roman" w:hAnsi="Times New Roman" w:cs="Times New Roman"/>
          <w:sz w:val="28"/>
          <w:szCs w:val="28"/>
        </w:rPr>
        <w:t>плазмо</w:t>
      </w:r>
      <w:r w:rsidRPr="001F2FC2">
        <w:rPr>
          <w:rFonts w:ascii="Times New Roman" w:hAnsi="Times New Roman" w:cs="Times New Roman"/>
          <w:sz w:val="28"/>
          <w:szCs w:val="28"/>
        </w:rPr>
        <w:t>заменителей</w:t>
      </w:r>
      <w:proofErr w:type="spellEnd"/>
      <w:r w:rsidRPr="001F2FC2">
        <w:rPr>
          <w:rFonts w:ascii="Times New Roman" w:hAnsi="Times New Roman" w:cs="Times New Roman"/>
          <w:sz w:val="28"/>
          <w:szCs w:val="28"/>
        </w:rPr>
        <w:t xml:space="preserve">, обладающих </w:t>
      </w:r>
      <w:bookmarkStart w:id="0" w:name="_GoBack"/>
      <w:bookmarkEnd w:id="0"/>
      <w:r w:rsidRPr="001F2FC2">
        <w:rPr>
          <w:rFonts w:ascii="Times New Roman" w:hAnsi="Times New Roman" w:cs="Times New Roman"/>
          <w:sz w:val="28"/>
          <w:szCs w:val="28"/>
        </w:rPr>
        <w:t xml:space="preserve">кислородтранспортной функцией - соединений на основе </w:t>
      </w:r>
      <w:proofErr w:type="spellStart"/>
      <w:r w:rsidRPr="001F2FC2">
        <w:rPr>
          <w:rFonts w:ascii="Times New Roman" w:hAnsi="Times New Roman" w:cs="Times New Roman"/>
          <w:sz w:val="28"/>
          <w:szCs w:val="28"/>
        </w:rPr>
        <w:t>перфторуглерода</w:t>
      </w:r>
      <w:proofErr w:type="spellEnd"/>
      <w:r w:rsidRPr="001F2FC2">
        <w:rPr>
          <w:rFonts w:ascii="Times New Roman" w:hAnsi="Times New Roman" w:cs="Times New Roman"/>
          <w:sz w:val="28"/>
          <w:szCs w:val="28"/>
        </w:rPr>
        <w:t xml:space="preserve"> и полимерного модифицированного гемоглобина крови человека. Однако</w:t>
      </w:r>
      <w:proofErr w:type="gramStart"/>
      <w:r w:rsidRPr="001F2F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FC2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Pr="001F2FC2">
        <w:rPr>
          <w:rFonts w:ascii="Times New Roman" w:hAnsi="Times New Roman" w:cs="Times New Roman"/>
          <w:sz w:val="28"/>
          <w:szCs w:val="28"/>
        </w:rPr>
        <w:t xml:space="preserve"> среды требуют специального рассмотрения.</w:t>
      </w:r>
    </w:p>
    <w:p w:rsidR="001F2FC2" w:rsidRPr="00BF1C92" w:rsidRDefault="001F2FC2" w:rsidP="001F2FC2">
      <w:pPr>
        <w:rPr>
          <w:rFonts w:ascii="Times New Roman" w:hAnsi="Times New Roman" w:cs="Times New Roman"/>
          <w:sz w:val="28"/>
          <w:szCs w:val="28"/>
        </w:rPr>
      </w:pPr>
      <w:r w:rsidRPr="001F2FC2">
        <w:rPr>
          <w:rFonts w:ascii="Times New Roman" w:hAnsi="Times New Roman" w:cs="Times New Roman"/>
          <w:sz w:val="28"/>
          <w:szCs w:val="28"/>
        </w:rPr>
        <w:t>ЛИТЕРАТУРА</w:t>
      </w:r>
      <w:r w:rsidR="00BF1C9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Pr="00BF1C92">
        <w:rPr>
          <w:rFonts w:ascii="Times New Roman" w:hAnsi="Times New Roman" w:cs="Times New Roman"/>
        </w:rPr>
        <w:t xml:space="preserve">1. </w:t>
      </w:r>
      <w:proofErr w:type="spellStart"/>
      <w:r w:rsidRPr="00BF1C92">
        <w:rPr>
          <w:rFonts w:ascii="Times New Roman" w:hAnsi="Times New Roman" w:cs="Times New Roman"/>
        </w:rPr>
        <w:t>Асскали</w:t>
      </w:r>
      <w:proofErr w:type="spellEnd"/>
      <w:r w:rsidRPr="00BF1C92">
        <w:rPr>
          <w:rFonts w:ascii="Times New Roman" w:hAnsi="Times New Roman" w:cs="Times New Roman"/>
        </w:rPr>
        <w:t xml:space="preserve"> Ф.,</w:t>
      </w:r>
      <w:proofErr w:type="spellStart"/>
      <w:r w:rsidRPr="00BF1C92">
        <w:rPr>
          <w:rFonts w:ascii="Times New Roman" w:hAnsi="Times New Roman" w:cs="Times New Roman"/>
        </w:rPr>
        <w:t>Фестер</w:t>
      </w:r>
      <w:proofErr w:type="spellEnd"/>
      <w:r w:rsidRPr="00BF1C92">
        <w:rPr>
          <w:rFonts w:ascii="Times New Roman" w:hAnsi="Times New Roman" w:cs="Times New Roman"/>
        </w:rPr>
        <w:t xml:space="preserve"> Х. </w:t>
      </w:r>
      <w:proofErr w:type="spellStart"/>
      <w:r w:rsidRPr="00BF1C92">
        <w:rPr>
          <w:rFonts w:ascii="Times New Roman" w:hAnsi="Times New Roman" w:cs="Times New Roman"/>
        </w:rPr>
        <w:t>Гидроксиэтилкрахмал</w:t>
      </w:r>
      <w:proofErr w:type="spellEnd"/>
      <w:r w:rsidRPr="00BF1C92">
        <w:rPr>
          <w:rFonts w:ascii="Times New Roman" w:hAnsi="Times New Roman" w:cs="Times New Roman"/>
        </w:rPr>
        <w:t xml:space="preserve"> из сырья различного происхождения: сопоставление </w:t>
      </w:r>
      <w:proofErr w:type="spellStart"/>
      <w:r w:rsidRPr="00BF1C92">
        <w:rPr>
          <w:rFonts w:ascii="Times New Roman" w:hAnsi="Times New Roman" w:cs="Times New Roman"/>
        </w:rPr>
        <w:t>фармакокинетики</w:t>
      </w:r>
      <w:proofErr w:type="spellEnd"/>
      <w:r w:rsidRPr="00BF1C92">
        <w:rPr>
          <w:rFonts w:ascii="Times New Roman" w:hAnsi="Times New Roman" w:cs="Times New Roman"/>
        </w:rPr>
        <w:t xml:space="preserve"> и </w:t>
      </w:r>
      <w:proofErr w:type="spellStart"/>
      <w:r w:rsidRPr="00BF1C92">
        <w:rPr>
          <w:rFonts w:ascii="Times New Roman" w:hAnsi="Times New Roman" w:cs="Times New Roman"/>
        </w:rPr>
        <w:t>фармакодинамики</w:t>
      </w:r>
      <w:proofErr w:type="spellEnd"/>
      <w:r w:rsidRPr="00BF1C92">
        <w:rPr>
          <w:rFonts w:ascii="Times New Roman" w:hAnsi="Times New Roman" w:cs="Times New Roman"/>
        </w:rPr>
        <w:t>.// Вестник интенсивной терапии, 1998, № 1.</w:t>
      </w:r>
    </w:p>
    <w:p w:rsidR="001F2FC2" w:rsidRPr="00BF1C92" w:rsidRDefault="001F2FC2" w:rsidP="001F2FC2">
      <w:pPr>
        <w:rPr>
          <w:rFonts w:ascii="Times New Roman" w:hAnsi="Times New Roman" w:cs="Times New Roman"/>
        </w:rPr>
      </w:pPr>
      <w:r w:rsidRPr="00BF1C92">
        <w:rPr>
          <w:rFonts w:ascii="Times New Roman" w:hAnsi="Times New Roman" w:cs="Times New Roman"/>
        </w:rPr>
        <w:t xml:space="preserve">2. </w:t>
      </w:r>
      <w:proofErr w:type="spellStart"/>
      <w:r w:rsidRPr="00BF1C92">
        <w:rPr>
          <w:rFonts w:ascii="Times New Roman" w:hAnsi="Times New Roman" w:cs="Times New Roman"/>
        </w:rPr>
        <w:t>Братусь</w:t>
      </w:r>
      <w:proofErr w:type="spellEnd"/>
      <w:r w:rsidRPr="00BF1C92">
        <w:rPr>
          <w:rFonts w:ascii="Times New Roman" w:hAnsi="Times New Roman" w:cs="Times New Roman"/>
        </w:rPr>
        <w:t xml:space="preserve"> В.В., </w:t>
      </w:r>
      <w:proofErr w:type="spellStart"/>
      <w:r w:rsidRPr="00BF1C92">
        <w:rPr>
          <w:rFonts w:ascii="Times New Roman" w:hAnsi="Times New Roman" w:cs="Times New Roman"/>
        </w:rPr>
        <w:t>Бутылин</w:t>
      </w:r>
      <w:proofErr w:type="spellEnd"/>
      <w:r w:rsidRPr="00BF1C92">
        <w:rPr>
          <w:rFonts w:ascii="Times New Roman" w:hAnsi="Times New Roman" w:cs="Times New Roman"/>
        </w:rPr>
        <w:t xml:space="preserve"> Ю.П., Дмитриев Ю.Л. Интенсивная терапия в неотложной </w:t>
      </w:r>
      <w:proofErr w:type="spellStart"/>
      <w:r w:rsidRPr="00BF1C92">
        <w:rPr>
          <w:rFonts w:ascii="Times New Roman" w:hAnsi="Times New Roman" w:cs="Times New Roman"/>
        </w:rPr>
        <w:t>хирургии</w:t>
      </w:r>
      <w:proofErr w:type="gramStart"/>
      <w:r w:rsidRPr="00BF1C92">
        <w:rPr>
          <w:rFonts w:ascii="Times New Roman" w:hAnsi="Times New Roman" w:cs="Times New Roman"/>
        </w:rPr>
        <w:t>.К</w:t>
      </w:r>
      <w:proofErr w:type="gramEnd"/>
      <w:r w:rsidRPr="00BF1C92">
        <w:rPr>
          <w:rFonts w:ascii="Times New Roman" w:hAnsi="Times New Roman" w:cs="Times New Roman"/>
        </w:rPr>
        <w:t>иев</w:t>
      </w:r>
      <w:proofErr w:type="spellEnd"/>
      <w:r w:rsidRPr="00BF1C92">
        <w:rPr>
          <w:rFonts w:ascii="Times New Roman" w:hAnsi="Times New Roman" w:cs="Times New Roman"/>
        </w:rPr>
        <w:t xml:space="preserve"> ,1980.</w:t>
      </w:r>
    </w:p>
    <w:p w:rsidR="001F2FC2" w:rsidRPr="00BF1C92" w:rsidRDefault="001F2FC2" w:rsidP="001F2FC2">
      <w:pPr>
        <w:rPr>
          <w:rFonts w:ascii="Times New Roman" w:hAnsi="Times New Roman" w:cs="Times New Roman"/>
        </w:rPr>
      </w:pPr>
      <w:r w:rsidRPr="00BF1C92">
        <w:rPr>
          <w:rFonts w:ascii="Times New Roman" w:hAnsi="Times New Roman" w:cs="Times New Roman"/>
        </w:rPr>
        <w:lastRenderedPageBreak/>
        <w:t xml:space="preserve">3. </w:t>
      </w:r>
      <w:proofErr w:type="spellStart"/>
      <w:r w:rsidRPr="00BF1C92">
        <w:rPr>
          <w:rFonts w:ascii="Times New Roman" w:hAnsi="Times New Roman" w:cs="Times New Roman"/>
        </w:rPr>
        <w:t>Глушнев</w:t>
      </w:r>
      <w:proofErr w:type="spellEnd"/>
      <w:r w:rsidRPr="00BF1C92">
        <w:rPr>
          <w:rFonts w:ascii="Times New Roman" w:hAnsi="Times New Roman" w:cs="Times New Roman"/>
        </w:rPr>
        <w:t xml:space="preserve"> И.В.,</w:t>
      </w:r>
      <w:proofErr w:type="spellStart"/>
      <w:r w:rsidRPr="00BF1C92">
        <w:rPr>
          <w:rFonts w:ascii="Times New Roman" w:hAnsi="Times New Roman" w:cs="Times New Roman"/>
        </w:rPr>
        <w:t>Таратина</w:t>
      </w:r>
      <w:proofErr w:type="spellEnd"/>
      <w:r w:rsidRPr="00BF1C92">
        <w:rPr>
          <w:rFonts w:ascii="Times New Roman" w:hAnsi="Times New Roman" w:cs="Times New Roman"/>
        </w:rPr>
        <w:t xml:space="preserve">, </w:t>
      </w:r>
      <w:proofErr w:type="spellStart"/>
      <w:r w:rsidRPr="00BF1C92">
        <w:rPr>
          <w:rFonts w:ascii="Times New Roman" w:hAnsi="Times New Roman" w:cs="Times New Roman"/>
        </w:rPr>
        <w:t>Т.М.,Иванова</w:t>
      </w:r>
      <w:proofErr w:type="spellEnd"/>
      <w:r w:rsidRPr="00BF1C92">
        <w:rPr>
          <w:rFonts w:ascii="Times New Roman" w:hAnsi="Times New Roman" w:cs="Times New Roman"/>
        </w:rPr>
        <w:t>, и др</w:t>
      </w:r>
      <w:proofErr w:type="gramStart"/>
      <w:r w:rsidRPr="00BF1C92">
        <w:rPr>
          <w:rFonts w:ascii="Times New Roman" w:hAnsi="Times New Roman" w:cs="Times New Roman"/>
        </w:rPr>
        <w:t xml:space="preserve">.. </w:t>
      </w:r>
      <w:proofErr w:type="gramEnd"/>
      <w:r w:rsidRPr="00BF1C92">
        <w:rPr>
          <w:rFonts w:ascii="Times New Roman" w:hAnsi="Times New Roman" w:cs="Times New Roman"/>
        </w:rPr>
        <w:t xml:space="preserve">Возможность применения </w:t>
      </w:r>
      <w:proofErr w:type="spellStart"/>
      <w:r w:rsidRPr="00BF1C92">
        <w:rPr>
          <w:rFonts w:ascii="Times New Roman" w:hAnsi="Times New Roman" w:cs="Times New Roman"/>
        </w:rPr>
        <w:t>конъюгатов</w:t>
      </w:r>
      <w:proofErr w:type="spellEnd"/>
      <w:r w:rsidRPr="00BF1C92">
        <w:rPr>
          <w:rFonts w:ascii="Times New Roman" w:hAnsi="Times New Roman" w:cs="Times New Roman"/>
        </w:rPr>
        <w:t xml:space="preserve"> </w:t>
      </w:r>
      <w:proofErr w:type="spellStart"/>
      <w:r w:rsidRPr="00BF1C92">
        <w:rPr>
          <w:rFonts w:ascii="Times New Roman" w:hAnsi="Times New Roman" w:cs="Times New Roman"/>
        </w:rPr>
        <w:t>гидролизатов</w:t>
      </w:r>
      <w:proofErr w:type="spellEnd"/>
      <w:r w:rsidRPr="00BF1C92">
        <w:rPr>
          <w:rFonts w:ascii="Times New Roman" w:hAnsi="Times New Roman" w:cs="Times New Roman"/>
        </w:rPr>
        <w:t xml:space="preserve"> желатины и декстрана в качестве </w:t>
      </w:r>
      <w:proofErr w:type="spellStart"/>
      <w:r w:rsidRPr="00BF1C92">
        <w:rPr>
          <w:rFonts w:ascii="Times New Roman" w:hAnsi="Times New Roman" w:cs="Times New Roman"/>
        </w:rPr>
        <w:t>плазмозаменителей</w:t>
      </w:r>
      <w:proofErr w:type="spellEnd"/>
      <w:r w:rsidRPr="00BF1C92">
        <w:rPr>
          <w:rFonts w:ascii="Times New Roman" w:hAnsi="Times New Roman" w:cs="Times New Roman"/>
        </w:rPr>
        <w:t xml:space="preserve"> и </w:t>
      </w:r>
      <w:proofErr w:type="spellStart"/>
      <w:r w:rsidRPr="00BF1C92">
        <w:rPr>
          <w:rFonts w:ascii="Times New Roman" w:hAnsi="Times New Roman" w:cs="Times New Roman"/>
        </w:rPr>
        <w:t>дезинтоксикантов</w:t>
      </w:r>
      <w:proofErr w:type="spellEnd"/>
      <w:r w:rsidRPr="00BF1C92">
        <w:rPr>
          <w:rFonts w:ascii="Times New Roman" w:hAnsi="Times New Roman" w:cs="Times New Roman"/>
        </w:rPr>
        <w:t>.// В кн.: Актуальные проблемы улучшения качества кровезаменителей, консервантов крови, гормональных и органотерапевтических препаратов. М.,1991. с.98.</w:t>
      </w:r>
    </w:p>
    <w:p w:rsidR="001F2FC2" w:rsidRPr="00BF1C92" w:rsidRDefault="001F2FC2" w:rsidP="001F2FC2">
      <w:pPr>
        <w:rPr>
          <w:rFonts w:ascii="Times New Roman" w:hAnsi="Times New Roman" w:cs="Times New Roman"/>
        </w:rPr>
      </w:pPr>
      <w:r w:rsidRPr="00BF1C92">
        <w:rPr>
          <w:rFonts w:ascii="Times New Roman" w:hAnsi="Times New Roman" w:cs="Times New Roman"/>
        </w:rPr>
        <w:t xml:space="preserve">4. </w:t>
      </w:r>
      <w:proofErr w:type="spellStart"/>
      <w:r w:rsidRPr="00BF1C92">
        <w:rPr>
          <w:rFonts w:ascii="Times New Roman" w:hAnsi="Times New Roman" w:cs="Times New Roman"/>
        </w:rPr>
        <w:t>КозловА.А</w:t>
      </w:r>
      <w:proofErr w:type="spellEnd"/>
      <w:r w:rsidRPr="00BF1C92">
        <w:rPr>
          <w:rFonts w:ascii="Times New Roman" w:hAnsi="Times New Roman" w:cs="Times New Roman"/>
        </w:rPr>
        <w:t>., Берковский А.Л.,.</w:t>
      </w:r>
      <w:proofErr w:type="spellStart"/>
      <w:r w:rsidRPr="00BF1C92">
        <w:rPr>
          <w:rFonts w:ascii="Times New Roman" w:hAnsi="Times New Roman" w:cs="Times New Roman"/>
        </w:rPr>
        <w:t>Простакова</w:t>
      </w:r>
      <w:proofErr w:type="spellEnd"/>
      <w:r w:rsidRPr="00BF1C92">
        <w:rPr>
          <w:rFonts w:ascii="Times New Roman" w:hAnsi="Times New Roman" w:cs="Times New Roman"/>
        </w:rPr>
        <w:t xml:space="preserve"> Т.М., и др. Метод для оценки качества препаратов декстрана.// В </w:t>
      </w:r>
      <w:proofErr w:type="spellStart"/>
      <w:r w:rsidRPr="00BF1C92">
        <w:rPr>
          <w:rFonts w:ascii="Times New Roman" w:hAnsi="Times New Roman" w:cs="Times New Roman"/>
        </w:rPr>
        <w:t>кн.</w:t>
      </w:r>
      <w:proofErr w:type="gramStart"/>
      <w:r w:rsidRPr="00BF1C92">
        <w:rPr>
          <w:rFonts w:ascii="Times New Roman" w:hAnsi="Times New Roman" w:cs="Times New Roman"/>
        </w:rPr>
        <w:t>:А</w:t>
      </w:r>
      <w:proofErr w:type="gramEnd"/>
      <w:r w:rsidRPr="00BF1C92">
        <w:rPr>
          <w:rFonts w:ascii="Times New Roman" w:hAnsi="Times New Roman" w:cs="Times New Roman"/>
        </w:rPr>
        <w:t>ктуальные</w:t>
      </w:r>
      <w:proofErr w:type="spellEnd"/>
      <w:r w:rsidRPr="00BF1C92">
        <w:rPr>
          <w:rFonts w:ascii="Times New Roman" w:hAnsi="Times New Roman" w:cs="Times New Roman"/>
        </w:rPr>
        <w:t xml:space="preserve"> проблемы улучшения качества кровезаменителей, консервантов крови, гормональных и органотерапевтических препаратов. М.,1991. с.83.</w:t>
      </w:r>
    </w:p>
    <w:p w:rsidR="001F2FC2" w:rsidRPr="00BF1C92" w:rsidRDefault="001F2FC2" w:rsidP="001F2FC2">
      <w:pPr>
        <w:rPr>
          <w:rFonts w:ascii="Times New Roman" w:hAnsi="Times New Roman" w:cs="Times New Roman"/>
        </w:rPr>
      </w:pPr>
      <w:r w:rsidRPr="00BF1C92">
        <w:rPr>
          <w:rFonts w:ascii="Times New Roman" w:hAnsi="Times New Roman" w:cs="Times New Roman"/>
        </w:rPr>
        <w:t xml:space="preserve">5. </w:t>
      </w:r>
      <w:proofErr w:type="spellStart"/>
      <w:r w:rsidRPr="00BF1C92">
        <w:rPr>
          <w:rFonts w:ascii="Times New Roman" w:hAnsi="Times New Roman" w:cs="Times New Roman"/>
        </w:rPr>
        <w:t>Кочетыгов</w:t>
      </w:r>
      <w:proofErr w:type="spellEnd"/>
      <w:r w:rsidRPr="00BF1C92">
        <w:rPr>
          <w:rFonts w:ascii="Times New Roman" w:hAnsi="Times New Roman" w:cs="Times New Roman"/>
        </w:rPr>
        <w:t xml:space="preserve"> Н.И. Кровезаменители при кровопотере и шоке. "Медицина", Л.,1984.</w:t>
      </w:r>
    </w:p>
    <w:p w:rsidR="001F2FC2" w:rsidRPr="00BF1C92" w:rsidRDefault="001F2FC2" w:rsidP="001F2FC2">
      <w:pPr>
        <w:rPr>
          <w:rFonts w:ascii="Times New Roman" w:hAnsi="Times New Roman" w:cs="Times New Roman"/>
        </w:rPr>
      </w:pPr>
      <w:r w:rsidRPr="00BF1C92">
        <w:rPr>
          <w:rFonts w:ascii="Times New Roman" w:hAnsi="Times New Roman" w:cs="Times New Roman"/>
        </w:rPr>
        <w:t>6. Малышев В.Д. Интенсивная терапия. М.,1997.</w:t>
      </w:r>
    </w:p>
    <w:p w:rsidR="001F2FC2" w:rsidRPr="00BF1C92" w:rsidRDefault="001F2FC2" w:rsidP="001F2FC2">
      <w:pPr>
        <w:rPr>
          <w:rFonts w:ascii="Times New Roman" w:hAnsi="Times New Roman" w:cs="Times New Roman"/>
        </w:rPr>
      </w:pPr>
      <w:r w:rsidRPr="00BF1C92">
        <w:rPr>
          <w:rFonts w:ascii="Times New Roman" w:hAnsi="Times New Roman" w:cs="Times New Roman"/>
        </w:rPr>
        <w:t xml:space="preserve">7. </w:t>
      </w:r>
      <w:proofErr w:type="gramStart"/>
      <w:r w:rsidRPr="00BF1C92">
        <w:rPr>
          <w:rFonts w:ascii="Times New Roman" w:hAnsi="Times New Roman" w:cs="Times New Roman"/>
        </w:rPr>
        <w:t>Франке</w:t>
      </w:r>
      <w:proofErr w:type="gramEnd"/>
      <w:r w:rsidRPr="00BF1C92">
        <w:rPr>
          <w:rFonts w:ascii="Times New Roman" w:hAnsi="Times New Roman" w:cs="Times New Roman"/>
        </w:rPr>
        <w:t xml:space="preserve"> Р. Восполнение объема циркулирующей крови с использованием коллоидных растворов.// </w:t>
      </w:r>
      <w:proofErr w:type="spellStart"/>
      <w:r w:rsidRPr="00BF1C92">
        <w:rPr>
          <w:rFonts w:ascii="Times New Roman" w:hAnsi="Times New Roman" w:cs="Times New Roman"/>
        </w:rPr>
        <w:t>Анест</w:t>
      </w:r>
      <w:proofErr w:type="spellEnd"/>
      <w:r w:rsidRPr="00BF1C92">
        <w:rPr>
          <w:rFonts w:ascii="Times New Roman" w:hAnsi="Times New Roman" w:cs="Times New Roman"/>
        </w:rPr>
        <w:t xml:space="preserve">. и </w:t>
      </w:r>
      <w:proofErr w:type="spellStart"/>
      <w:r w:rsidRPr="00BF1C92">
        <w:rPr>
          <w:rFonts w:ascii="Times New Roman" w:hAnsi="Times New Roman" w:cs="Times New Roman"/>
        </w:rPr>
        <w:t>Реан</w:t>
      </w:r>
      <w:proofErr w:type="spellEnd"/>
      <w:r w:rsidRPr="00BF1C92">
        <w:rPr>
          <w:rFonts w:ascii="Times New Roman" w:hAnsi="Times New Roman" w:cs="Times New Roman"/>
        </w:rPr>
        <w:t>. 1999. №3 с.70-76.</w:t>
      </w:r>
    </w:p>
    <w:p w:rsidR="001F2FC2" w:rsidRPr="00BF1C92" w:rsidRDefault="001F2FC2" w:rsidP="001F2FC2">
      <w:pPr>
        <w:rPr>
          <w:rFonts w:ascii="Times New Roman" w:hAnsi="Times New Roman" w:cs="Times New Roman"/>
          <w:lang w:val="en-US"/>
        </w:rPr>
      </w:pPr>
      <w:r w:rsidRPr="00BF1C92">
        <w:rPr>
          <w:rFonts w:ascii="Times New Roman" w:hAnsi="Times New Roman" w:cs="Times New Roman"/>
        </w:rPr>
        <w:t xml:space="preserve">8. </w:t>
      </w:r>
      <w:proofErr w:type="spellStart"/>
      <w:r w:rsidRPr="00BF1C92">
        <w:rPr>
          <w:rFonts w:ascii="Times New Roman" w:hAnsi="Times New Roman" w:cs="Times New Roman"/>
        </w:rPr>
        <w:t>Хлябич</w:t>
      </w:r>
      <w:proofErr w:type="spellEnd"/>
      <w:r w:rsidRPr="00BF1C92">
        <w:rPr>
          <w:rFonts w:ascii="Times New Roman" w:hAnsi="Times New Roman" w:cs="Times New Roman"/>
        </w:rPr>
        <w:t xml:space="preserve"> Г.Н. Основные направления исследований по созданию перспективных технологий производства кровезаменителей.// В кн.: Актуальные проблемы улучшения качества кровезаменителей, консервантов крови, гормональных и органотерапевтических препаратов. М</w:t>
      </w:r>
      <w:r w:rsidRPr="00BF1C92">
        <w:rPr>
          <w:rFonts w:ascii="Times New Roman" w:hAnsi="Times New Roman" w:cs="Times New Roman"/>
          <w:lang w:val="en-US"/>
        </w:rPr>
        <w:t xml:space="preserve">.,1991. </w:t>
      </w:r>
      <w:r w:rsidRPr="00BF1C92">
        <w:rPr>
          <w:rFonts w:ascii="Times New Roman" w:hAnsi="Times New Roman" w:cs="Times New Roman"/>
        </w:rPr>
        <w:t>с</w:t>
      </w:r>
      <w:r w:rsidRPr="00BF1C92">
        <w:rPr>
          <w:rFonts w:ascii="Times New Roman" w:hAnsi="Times New Roman" w:cs="Times New Roman"/>
          <w:lang w:val="en-US"/>
        </w:rPr>
        <w:t>. 3 -9.</w:t>
      </w:r>
    </w:p>
    <w:p w:rsidR="001F2FC2" w:rsidRPr="00BF1C92" w:rsidRDefault="001F2FC2" w:rsidP="001F2FC2">
      <w:pPr>
        <w:rPr>
          <w:rFonts w:ascii="Times New Roman" w:hAnsi="Times New Roman" w:cs="Times New Roman"/>
          <w:lang w:val="en-US"/>
        </w:rPr>
      </w:pPr>
      <w:r w:rsidRPr="00BF1C92">
        <w:rPr>
          <w:rFonts w:ascii="Times New Roman" w:hAnsi="Times New Roman" w:cs="Times New Roman"/>
          <w:lang w:val="en-US"/>
        </w:rPr>
        <w:t xml:space="preserve">9. </w:t>
      </w:r>
      <w:proofErr w:type="spellStart"/>
      <w:r w:rsidRPr="00BF1C92">
        <w:rPr>
          <w:rFonts w:ascii="Times New Roman" w:hAnsi="Times New Roman" w:cs="Times New Roman"/>
          <w:lang w:val="en-US"/>
        </w:rPr>
        <w:t>Laubenthal</w:t>
      </w:r>
      <w:proofErr w:type="spellEnd"/>
      <w:r w:rsidRPr="00BF1C92">
        <w:rPr>
          <w:rFonts w:ascii="Times New Roman" w:hAnsi="Times New Roman" w:cs="Times New Roman"/>
          <w:lang w:val="en-US"/>
        </w:rPr>
        <w:t xml:space="preserve"> H. </w:t>
      </w:r>
      <w:proofErr w:type="spellStart"/>
      <w:r w:rsidRPr="00BF1C92">
        <w:rPr>
          <w:rFonts w:ascii="Times New Roman" w:hAnsi="Times New Roman" w:cs="Times New Roman"/>
          <w:lang w:val="en-US"/>
        </w:rPr>
        <w:t>Dextrananaphylaxie</w:t>
      </w:r>
      <w:proofErr w:type="spellEnd"/>
      <w:r w:rsidRPr="00BF1C9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1C92">
        <w:rPr>
          <w:rFonts w:ascii="Times New Roman" w:hAnsi="Times New Roman" w:cs="Times New Roman"/>
          <w:lang w:val="en-US"/>
        </w:rPr>
        <w:t>Pathomechanismus</w:t>
      </w:r>
      <w:proofErr w:type="spellEnd"/>
      <w:r w:rsidRPr="00BF1C92">
        <w:rPr>
          <w:rFonts w:ascii="Times New Roman" w:hAnsi="Times New Roman" w:cs="Times New Roman"/>
          <w:lang w:val="en-US"/>
        </w:rPr>
        <w:t xml:space="preserve"> und Prophylaxe.1986. Springer-</w:t>
      </w:r>
      <w:proofErr w:type="spellStart"/>
      <w:r w:rsidRPr="00BF1C92">
        <w:rPr>
          <w:rFonts w:ascii="Times New Roman" w:hAnsi="Times New Roman" w:cs="Times New Roman"/>
          <w:lang w:val="en-US"/>
        </w:rPr>
        <w:t>Verlag</w:t>
      </w:r>
      <w:proofErr w:type="spellEnd"/>
      <w:r w:rsidRPr="00BF1C92">
        <w:rPr>
          <w:rFonts w:ascii="Times New Roman" w:hAnsi="Times New Roman" w:cs="Times New Roman"/>
          <w:lang w:val="en-US"/>
        </w:rPr>
        <w:t>, S. 51-83.</w:t>
      </w:r>
    </w:p>
    <w:p w:rsidR="001F2FC2" w:rsidRPr="00294B76" w:rsidRDefault="001F2FC2" w:rsidP="001F2FC2">
      <w:pPr>
        <w:rPr>
          <w:rFonts w:ascii="Times New Roman" w:hAnsi="Times New Roman" w:cs="Times New Roman"/>
          <w:lang w:val="en-US"/>
        </w:rPr>
      </w:pPr>
      <w:r w:rsidRPr="00BF1C92">
        <w:rPr>
          <w:rFonts w:ascii="Times New Roman" w:hAnsi="Times New Roman" w:cs="Times New Roman"/>
          <w:lang w:val="en-US"/>
        </w:rPr>
        <w:t xml:space="preserve">10. Lutz H. </w:t>
      </w:r>
      <w:proofErr w:type="spellStart"/>
      <w:r w:rsidRPr="00BF1C92">
        <w:rPr>
          <w:rFonts w:ascii="Times New Roman" w:hAnsi="Times New Roman" w:cs="Times New Roman"/>
          <w:lang w:val="en-US"/>
        </w:rPr>
        <w:t>Plasmaersatzmittel</w:t>
      </w:r>
      <w:proofErr w:type="spellEnd"/>
      <w:r w:rsidRPr="00BF1C92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BF1C92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Pr="00BF1C92">
        <w:rPr>
          <w:rFonts w:ascii="Times New Roman" w:hAnsi="Times New Roman" w:cs="Times New Roman"/>
          <w:lang w:val="en-US"/>
        </w:rPr>
        <w:t>Auflage</w:t>
      </w:r>
      <w:proofErr w:type="spellEnd"/>
      <w:r w:rsidRPr="00BF1C92">
        <w:rPr>
          <w:rFonts w:ascii="Times New Roman" w:hAnsi="Times New Roman" w:cs="Times New Roman"/>
          <w:lang w:val="en-US"/>
        </w:rPr>
        <w:t>.</w:t>
      </w:r>
      <w:proofErr w:type="gramEnd"/>
      <w:r w:rsidRPr="00BF1C92">
        <w:rPr>
          <w:rFonts w:ascii="Times New Roman" w:hAnsi="Times New Roman" w:cs="Times New Roman"/>
          <w:lang w:val="en-US"/>
        </w:rPr>
        <w:t xml:space="preserve"> S. 87-154. </w:t>
      </w:r>
      <w:proofErr w:type="spellStart"/>
      <w:proofErr w:type="gramStart"/>
      <w:r w:rsidRPr="00294B76">
        <w:rPr>
          <w:rFonts w:ascii="Times New Roman" w:hAnsi="Times New Roman" w:cs="Times New Roman"/>
          <w:lang w:val="en-US"/>
        </w:rPr>
        <w:t>Thieme-Verlag</w:t>
      </w:r>
      <w:proofErr w:type="spellEnd"/>
      <w:r w:rsidRPr="00294B76">
        <w:rPr>
          <w:rFonts w:ascii="Times New Roman" w:hAnsi="Times New Roman" w:cs="Times New Roman"/>
          <w:lang w:val="en-US"/>
        </w:rPr>
        <w:t>.</w:t>
      </w:r>
      <w:proofErr w:type="gramEnd"/>
      <w:r w:rsidRPr="00294B76">
        <w:rPr>
          <w:rFonts w:ascii="Times New Roman" w:hAnsi="Times New Roman" w:cs="Times New Roman"/>
          <w:lang w:val="en-US"/>
        </w:rPr>
        <w:t xml:space="preserve"> 1986.</w:t>
      </w:r>
    </w:p>
    <w:p w:rsidR="0055654E" w:rsidRPr="00BF1C92" w:rsidRDefault="001F2FC2" w:rsidP="001F2FC2">
      <w:pPr>
        <w:rPr>
          <w:rFonts w:ascii="Times New Roman" w:hAnsi="Times New Roman" w:cs="Times New Roman"/>
        </w:rPr>
      </w:pPr>
      <w:r w:rsidRPr="00BF1C92">
        <w:rPr>
          <w:rFonts w:ascii="Times New Roman" w:hAnsi="Times New Roman" w:cs="Times New Roman"/>
          <w:lang w:val="en-US"/>
        </w:rPr>
        <w:t xml:space="preserve">11. </w:t>
      </w:r>
      <w:proofErr w:type="spellStart"/>
      <w:r w:rsidRPr="00BF1C92">
        <w:rPr>
          <w:rFonts w:ascii="Times New Roman" w:hAnsi="Times New Roman" w:cs="Times New Roman"/>
          <w:lang w:val="en-US"/>
        </w:rPr>
        <w:t>Singl</w:t>
      </w:r>
      <w:proofErr w:type="spellEnd"/>
      <w:r w:rsidRPr="00BF1C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C92">
        <w:rPr>
          <w:rFonts w:ascii="Times New Roman" w:hAnsi="Times New Roman" w:cs="Times New Roman"/>
          <w:lang w:val="en-US"/>
        </w:rPr>
        <w:t>S.,Schaeffer</w:t>
      </w:r>
      <w:proofErr w:type="spellEnd"/>
      <w:r w:rsidRPr="00BF1C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C92">
        <w:rPr>
          <w:rFonts w:ascii="Times New Roman" w:hAnsi="Times New Roman" w:cs="Times New Roman"/>
          <w:lang w:val="en-US"/>
        </w:rPr>
        <w:t>R.C.,Valdes</w:t>
      </w:r>
      <w:proofErr w:type="spellEnd"/>
      <w:r w:rsidRPr="00BF1C92">
        <w:rPr>
          <w:rFonts w:ascii="Times New Roman" w:hAnsi="Times New Roman" w:cs="Times New Roman"/>
          <w:lang w:val="en-US"/>
        </w:rPr>
        <w:t xml:space="preserve"> S. </w:t>
      </w:r>
      <w:proofErr w:type="spellStart"/>
      <w:r w:rsidRPr="00BF1C92">
        <w:rPr>
          <w:rFonts w:ascii="Times New Roman" w:hAnsi="Times New Roman" w:cs="Times New Roman"/>
          <w:lang w:val="en-US"/>
        </w:rPr>
        <w:t>Cardiorespira</w:t>
      </w:r>
      <w:proofErr w:type="spellEnd"/>
      <w:r w:rsidRPr="00BF1C92">
        <w:rPr>
          <w:rFonts w:ascii="Times New Roman" w:hAnsi="Times New Roman" w:cs="Times New Roman"/>
          <w:lang w:val="en-US"/>
        </w:rPr>
        <w:t xml:space="preserve">-tory effects of volume overload with colloidal fluids in dogs.// </w:t>
      </w:r>
      <w:proofErr w:type="spellStart"/>
      <w:r w:rsidRPr="00BF1C92">
        <w:rPr>
          <w:rFonts w:ascii="Times New Roman" w:hAnsi="Times New Roman" w:cs="Times New Roman"/>
        </w:rPr>
        <w:t>Crit</w:t>
      </w:r>
      <w:proofErr w:type="spellEnd"/>
      <w:r w:rsidRPr="00BF1C92">
        <w:rPr>
          <w:rFonts w:ascii="Times New Roman" w:hAnsi="Times New Roman" w:cs="Times New Roman"/>
        </w:rPr>
        <w:t xml:space="preserve">. </w:t>
      </w:r>
      <w:proofErr w:type="spellStart"/>
      <w:r w:rsidRPr="00BF1C92">
        <w:rPr>
          <w:rFonts w:ascii="Times New Roman" w:hAnsi="Times New Roman" w:cs="Times New Roman"/>
        </w:rPr>
        <w:t>Care</w:t>
      </w:r>
      <w:proofErr w:type="spellEnd"/>
      <w:r w:rsidRPr="00BF1C92">
        <w:rPr>
          <w:rFonts w:ascii="Times New Roman" w:hAnsi="Times New Roman" w:cs="Times New Roman"/>
        </w:rPr>
        <w:t xml:space="preserve"> </w:t>
      </w:r>
      <w:proofErr w:type="spellStart"/>
      <w:r w:rsidRPr="00BF1C92">
        <w:rPr>
          <w:rFonts w:ascii="Times New Roman" w:hAnsi="Times New Roman" w:cs="Times New Roman"/>
        </w:rPr>
        <w:t>Med</w:t>
      </w:r>
      <w:proofErr w:type="spellEnd"/>
      <w:r w:rsidRPr="00BF1C92">
        <w:rPr>
          <w:rFonts w:ascii="Times New Roman" w:hAnsi="Times New Roman" w:cs="Times New Roman"/>
        </w:rPr>
        <w:t>. 1983. V.33 p.585-590.</w:t>
      </w:r>
    </w:p>
    <w:sectPr w:rsidR="0055654E" w:rsidRPr="00BF1C92" w:rsidSect="00FC6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E3"/>
    <w:rsid w:val="00020C15"/>
    <w:rsid w:val="001138EA"/>
    <w:rsid w:val="001933F0"/>
    <w:rsid w:val="001B1862"/>
    <w:rsid w:val="001F14C9"/>
    <w:rsid w:val="001F2FC2"/>
    <w:rsid w:val="00215BD7"/>
    <w:rsid w:val="00241A7E"/>
    <w:rsid w:val="0024304F"/>
    <w:rsid w:val="00294B76"/>
    <w:rsid w:val="002F6556"/>
    <w:rsid w:val="00354847"/>
    <w:rsid w:val="003552B7"/>
    <w:rsid w:val="00357855"/>
    <w:rsid w:val="003601E3"/>
    <w:rsid w:val="00384CF1"/>
    <w:rsid w:val="00452B94"/>
    <w:rsid w:val="00487D99"/>
    <w:rsid w:val="004A0B1A"/>
    <w:rsid w:val="004B286B"/>
    <w:rsid w:val="004D06CC"/>
    <w:rsid w:val="00501D8E"/>
    <w:rsid w:val="0055654E"/>
    <w:rsid w:val="00604542"/>
    <w:rsid w:val="006076D9"/>
    <w:rsid w:val="006734E4"/>
    <w:rsid w:val="0068046F"/>
    <w:rsid w:val="006C11E5"/>
    <w:rsid w:val="006E69F0"/>
    <w:rsid w:val="006E69F9"/>
    <w:rsid w:val="0071088B"/>
    <w:rsid w:val="0074196A"/>
    <w:rsid w:val="007A3FAE"/>
    <w:rsid w:val="00816465"/>
    <w:rsid w:val="00841030"/>
    <w:rsid w:val="00856C86"/>
    <w:rsid w:val="009348AC"/>
    <w:rsid w:val="00941A0F"/>
    <w:rsid w:val="00942C53"/>
    <w:rsid w:val="009A560E"/>
    <w:rsid w:val="00A21027"/>
    <w:rsid w:val="00A96F92"/>
    <w:rsid w:val="00AB4533"/>
    <w:rsid w:val="00B52B57"/>
    <w:rsid w:val="00B52C80"/>
    <w:rsid w:val="00BA1A4F"/>
    <w:rsid w:val="00BB47A9"/>
    <w:rsid w:val="00BD0903"/>
    <w:rsid w:val="00BF1C92"/>
    <w:rsid w:val="00C22EC2"/>
    <w:rsid w:val="00C35BCB"/>
    <w:rsid w:val="00C73F4A"/>
    <w:rsid w:val="00C87750"/>
    <w:rsid w:val="00D920E3"/>
    <w:rsid w:val="00DB6896"/>
    <w:rsid w:val="00DF3930"/>
    <w:rsid w:val="00E43AB7"/>
    <w:rsid w:val="00EA44BE"/>
    <w:rsid w:val="00EB56EE"/>
    <w:rsid w:val="00ED5544"/>
    <w:rsid w:val="00ED6084"/>
    <w:rsid w:val="00F03F35"/>
    <w:rsid w:val="00F51FD0"/>
    <w:rsid w:val="00F617A0"/>
    <w:rsid w:val="00F8511D"/>
    <w:rsid w:val="00FC6E1C"/>
    <w:rsid w:val="00FD6A0B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2012-02-21T07:35:00Z</dcterms:created>
  <dcterms:modified xsi:type="dcterms:W3CDTF">2012-02-21T14:09:00Z</dcterms:modified>
</cp:coreProperties>
</file>