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87" w:rsidRPr="00B631E7" w:rsidRDefault="00334287" w:rsidP="0033428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1E7">
        <w:rPr>
          <w:rFonts w:ascii="Times New Roman" w:hAnsi="Times New Roman" w:cs="Times New Roman"/>
          <w:b/>
          <w:sz w:val="28"/>
          <w:szCs w:val="28"/>
        </w:rPr>
        <w:t>Объем</w:t>
      </w:r>
      <w:r w:rsidR="0083733D" w:rsidRPr="00B631E7">
        <w:rPr>
          <w:rFonts w:ascii="Times New Roman" w:hAnsi="Times New Roman" w:cs="Times New Roman"/>
          <w:b/>
          <w:sz w:val="28"/>
          <w:szCs w:val="28"/>
        </w:rPr>
        <w:t>о</w:t>
      </w:r>
      <w:r w:rsidRPr="00B631E7">
        <w:rPr>
          <w:rFonts w:ascii="Times New Roman" w:hAnsi="Times New Roman" w:cs="Times New Roman"/>
          <w:b/>
          <w:sz w:val="28"/>
          <w:szCs w:val="28"/>
        </w:rPr>
        <w:t>замещающая</w:t>
      </w:r>
      <w:proofErr w:type="spellEnd"/>
      <w:r w:rsidRPr="00B631E7">
        <w:rPr>
          <w:rFonts w:ascii="Times New Roman" w:hAnsi="Times New Roman" w:cs="Times New Roman"/>
          <w:b/>
          <w:sz w:val="28"/>
          <w:szCs w:val="28"/>
        </w:rPr>
        <w:t xml:space="preserve"> терапия острой кровопотери у пострадавших с тяжелой сочетанной травмой.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Журнал «Трудный пациент» / Архив / №4-2005 /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>А.Е. Шестопалов, В.Г. Пасько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>Главный военный клинический госпиталь им. акад. Н.Н. Бурденко, г. Москва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Инфузионно-трансфузионная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терапия (ИТТ) относится к одному из важнейших,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обусловленных компонентов интенсивной терапии тяжелой сочетанной травмы. Частота сочетанной травмы в общей структуре травматизма составляет 40 – 60 %, а летальность – 35–80 %.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Среди основных патогенетических факторов тяжелой сочетанной травмы ведущее место занимает наличие обширных сочетанных разрушений нескольких анатомических областей с возникновением нескольких источников наружного и внутреннего кровотечения, массивной кровопотерей и значительным снижением объема циркулирующей крови (ОЦК), возрастанием тяжести и резистентности травматического шока. Опыт оказания медицинской помощи пострадавшим с тяжелой сочетанной травмой показал, что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гипоциркуляция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в результате кровопотери является основной причиной развития критических состояний у пострадавших. Одновременно шок и кровопотеря остаются главными показаниями к проведению интенсивной терапии, направленной, прежде всего, на восстановление системной гемодинамики. Патогенетическая роль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в развитии тяжелых нарушений гомеостаза предопределяет значение своевременной и адекватной коррекции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волемических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нарушений на исходы лечения сочетанной травмы. В этой связи ИТТ принадлежит ведущая роль в восстановлении и поддержании адекватного гемодинамическим запросам объема циркулирующей крови, нормализации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гемореологии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 водно-электролитного баланса. Вместе с тем эффективность ИТТ во многом зависит от целенаправленного обоснования ее программы, характеристик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сред, их фармакологических свойств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фармакокинетики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. Современные тенденции к снижению объема гемотрансфузий, выявленные ограничения для применения растворов на основе декстрана и альбумина человека диктуют необходимость дальнейшего совершенствования методов и средств ИТТ. Разработка и производство новых коллоидных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инфузионных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растворов на основе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гидроксиэтилированного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крахмала (ГЭК) стали альтернативой коллоидных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плазмозаменителей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на основе декстрана. Однако анализ ИТТ при оказании помощи пострадавшим с тяжелой сочетанной травмой показал, что коллоидные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плазмозаменители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на основе ГЭК широкого применения не имеют и, как правило, рутинно используют растворы на основе декстрана.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В данной работе представлены результаты оценки эффективности коллоидных плазмозамещающих растворов на основе декстрана и ГЭК в коррекции синдрома </w:t>
      </w:r>
      <w:r w:rsidRPr="0083733D">
        <w:rPr>
          <w:rFonts w:ascii="Times New Roman" w:hAnsi="Times New Roman" w:cs="Times New Roman"/>
          <w:sz w:val="28"/>
          <w:szCs w:val="28"/>
        </w:rPr>
        <w:lastRenderedPageBreak/>
        <w:t xml:space="preserve">острой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у 128 пострадавших с тяжелой сочетанной травмой в возрасте от 22 до 57 лет, получивших повреждения следующих анатомических областей: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• головы, груди, конечности и живота – 20 %;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• головы, груди, конечности и таза – 30 %;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• головы, груди и конечности – 25 %;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• головы и конечности – 15 %.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>Частота и степень тяжести шока составила: шок 1-й ст. – 10 %, 2-й ст. – 30 %, 3-й ст. – 50 %. Тяжесть состояния пострадавших по APACHE II – 19–21 балл.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Величина общей кровопотери, включая травму и оперативное вмешательство, у всех обследованных пострадавших составила в среднем 38,5 ± 1,9 % ОЦК (29,2 ± 3,7 мл/кг). Объем ИТТ превышал объем кровопотери в 2–2,5 раза. Методы исследования включали оценку гемодинамического профиля, объема циркулирующей крови,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гемоконцентрационных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показателей, кислородно-транспортной функции крови, показателей гемостаза.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В зависимости от состава программы ИТТ пострадавшие разделены на две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рандомизированные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Первая группа (контрольная) включала 63 больных. Программа ИТТ, с учетом операционного периода, в первые сутки включала: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– 971,4 ± 80,7 мл (23,9 % от общего объема), растворы кристаллоидов – 2060,5 ± 55,4 мл (53,2 %),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эритроцитную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массу – 833,4 ± 67,3 мл (22,9 %). В последующие двое-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трое суток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послеоперационного периода объем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Полиглюкина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в среднем составил 784,3 ± 53,9 мл/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массы – 875,5 ± 49,3 мл/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(3–4 дозы). Соотношение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массы, коллоидов и кристаллоидов – 1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1 : 2.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Во второй группе (основной), включавшей 65 больных, ИТТ проводили в первые сутки (включая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интраоперационную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инфузию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>) с применением 10 % раствора ГЭК (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10 %) – 1245,5 ± 52,5 мл (32,4 % от общего объема ИТТ), растворов кристаллоидов – 1755,8 ± 80,8 мл (46,3 %),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массы 505,1 ± 48,3 мл (13,9 %). В последующем, на вторые-третьи, сутки объем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6 % ГЭК (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6 %) составил 987,8 ± 65,8 мл/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массы – 369,7 ± 84,3 мл/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(1–2 дозы). Соотношение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массы, коллоидов и кристаллоидов – 1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2 : 3.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Во всех группах с пятых по седьмые сутки использование синтетических коллоидов осуществлялось по показаниям. Как правило,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вторых-третьих суток в программу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терапии включали растворы для парентерального питания.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Как показал анализ показателей гемодинамики, во всех исследуемых группах артериальное давление (АД) и частота сердечных сокращений (ЧСС) изменялись в </w:t>
      </w:r>
      <w:r w:rsidRPr="0083733D">
        <w:rPr>
          <w:rFonts w:ascii="Times New Roman" w:hAnsi="Times New Roman" w:cs="Times New Roman"/>
          <w:sz w:val="28"/>
          <w:szCs w:val="28"/>
        </w:rPr>
        <w:lastRenderedPageBreak/>
        <w:t>первые часы после ранения. Так, АД снижалось до 80–90/50–60 мм рт. ст., а ЧСС возрастала до 120–130 уд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ин. После окончания операции и на всех этапах исследования эти показатели быстрее восстанавливались в обеих группах.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Начиная с первых суток послеоперационного периода во второй группе показатели гемодинамики стабилизировались в пределах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115–120/70–80 мм рт. ст., ЧСС – 84–86 уд/мин. В то же время у пострадавших первой группы нормализация показателей гемодинамики происходила медленнее. Так, АД оставалось в пределах 100–110/60–65 мм рт. ст., ЧСС – 100–110 до третьих суток, и только к пятым-седьмым суткам показатели достигали уровня 117–120/70–75 мм рт. ст. при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урежении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ЧСС до 84–86 уд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ин.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>Известно, что величина кровопотери, в равной мере дефицит объема циркулирующей крови и нарушения гемодинамики не имеют между собой четкой корреляционной зависимости в силу компенсаторных возможностей организма. Артериальное давление начинает снижаться при потерях более 20–25 % ОЦК.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733D">
        <w:rPr>
          <w:rFonts w:ascii="Times New Roman" w:hAnsi="Times New Roman" w:cs="Times New Roman"/>
          <w:sz w:val="28"/>
          <w:szCs w:val="28"/>
        </w:rPr>
        <w:t xml:space="preserve">Следовательно, стабилизация гемодинамических показателей в более короткие сроки у пострадавших второй группы по сравнению с первой группой дает возможность оценить степень компенсации кровообращения у пострадавших с тяжелой сочетанной травмой при имеющемся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волемическом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состоянии, а значит – в определенной степени судить об адекватности, эффективности и преимуществах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терапии ГЭК (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) по сравнению с декстраном. </w:t>
      </w:r>
      <w:proofErr w:type="gramEnd"/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>Результаты исследований ОЦК и ее компонентов показали, что в первые часы после травмы у всех обследованных пострадавших дефицит объема циркулирующей крови составил 19–21 % как за счет ГО (42–43 %), так и за счет ОП (5–7 %). При этом показатели гемоглобина были в пределах 80–90 г/л, гематокрита – 29–30 %, количество эритроцитов находилось на уровне 3,02–3,15 5 1012/л (табл. 1, 2).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733D">
        <w:rPr>
          <w:rFonts w:ascii="Times New Roman" w:hAnsi="Times New Roman" w:cs="Times New Roman"/>
          <w:sz w:val="28"/>
          <w:szCs w:val="28"/>
        </w:rPr>
        <w:t xml:space="preserve">В первые сутки после операции на фоне проводимой ИТТ во второй группе отмечено повышение ОЦК до 64–67 мл/кг, ГО – до 23–26 мл/кг, гемоглобина – до 110–120 г/л, гематокрит увеличился до 34–37 %, а количество эритроцитов – до 3,11–3,42 5 1012/л. В последующем было выявлено постепенное увеличение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волемических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 концентрационных показателей к седьмым суткам: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ОЦК – до 67–68 мл/кг, ГО – 25–26 мл/кг, гемоглобина – 115–121 г/л, гематокрита – 35–37 %, количества эритроцитов – до 3,54–3,67 5 1012/л (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&lt; 0,05).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733D">
        <w:rPr>
          <w:rFonts w:ascii="Times New Roman" w:hAnsi="Times New Roman" w:cs="Times New Roman"/>
          <w:sz w:val="28"/>
          <w:szCs w:val="28"/>
        </w:rPr>
        <w:t>В первой группе в первые сутки после операции также отмечено повышение ОЦК до 64–66 мл/кг, ГО – 24–25 мл/кг, гемоглобина – 106–116 г/л, гематокрит увеличился до 33,5–34,8 %, а количество эритроцитов – 3,49–3,56 5 1012/л. Однако, в отличие от второй группы, на второй-третий день отмечено снижение ОЦК до 61–63 мл/кг, ГО – 19–23 мл/кг, гемоглобина – 97–105 г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, гематокрита – 33–35 %, количества эритроцитов – до 3,36–3,5 5 1012/л. В последующие дни выявлено увеличение этих </w:t>
      </w:r>
      <w:r w:rsidRPr="0083733D">
        <w:rPr>
          <w:rFonts w:ascii="Times New Roman" w:hAnsi="Times New Roman" w:cs="Times New Roman"/>
          <w:sz w:val="28"/>
          <w:szCs w:val="28"/>
        </w:rPr>
        <w:lastRenderedPageBreak/>
        <w:t>показателей, и на седьмые сутки они составляли: ОЦК – 63–65 мл/кг, ГО – до 23–26 мл/кг, гемоглобин – 112–116 г/л, гематокрит – 35–37 % (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&lt; 0,05).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Таким образом, полученные нами результаты свидетельствуют, что в послеоперационном периоде на фоне избранной тактики возмещения кровопотери изменения ОЦК и ГО носили однонаправленный характер. Однако в поэтапном уменьшении их дефицита между группами имеются определенные различия. Если к седьмым суткам во второй группе дефицит ОЦК не превышал 10 %, а ГО – 17 %, то в первой группе эти показатели были равны соответственно 14 и 20 %. Отмеченные особенности во второй группе со стороны ОЦК и ГО прослеживаются и при сравнении показателей гемоглобина, гематокрита, количества эритроцитов. Можно предположить, что ИТТ в первой группе была неадекватна как по объему, так и по составу. Однако, анализируя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проведенную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ИТТ, видно, что в обеих группах объем кровопотери восполнен с превышением в 2–2,5 раза. Кроме того, в течение семи суток после ранения и операции объем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массы, белковых препаратов, плазмы в первой группе превышал таковые во второй в 1,5–2 раза. Вместе с тем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волемические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гемоконцентрационные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показатели у пострадавших первой группы оставались ниже, чем во второй группе даже на седьмые сутки.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Характерная для всех групп пострадавших относительная послеоперационная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гиповолемия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 анемия обусловлена внесосудистыми и внутрисосудистыми потерями как плазматического, так и глобулярного компонентов. Частично это связано с продолжением после операции и травмы паренхиматозных кровотечений, усиленной экссудацией из поврежденных мягких тканей, усилением разрушения эритроцитов в ответ на кровопотерю и оперативное вмешательство, возмещение кровопотери донорскими эритроцитами, явлением секвестрации части перелитых эритроцитов. Определенное значение имеет патологическое депонирование эритроцитов (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сладж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>) после операции и травмы как ответная реакция на травму и боль со стороны микроциркуляции и изменения реологических свой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ови. Послеоперационную анемию можно связать с компенсаторной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аутогемодилюцией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, коррекцией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значительным объемом коллоидных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кристаллоидных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растворов. Нельзя исключить, что послеоперационная анемия в определенной степени обусловлена синдромом массивных трансфузий, так как с учетом кровопотери (более 38 %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 xml:space="preserve">ОЦК) 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>объем гемотрансфузий достигал значительных величин. Состояние раненых и течение послеоперационного периода связанно с тяжестью травмы. Сочетанная травма характеризуется множественностью, обширностью и глубиной повреждения органов и тканей, шоком, кровопотерей.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Сопоставляя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наши результаты с данными литературы и оценивая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волемическое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состояние и концентрационные показатели крови у пострадавших, можно заключить, что проведенная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терапия во всех группах была адекватна. Послеоперационный период у пострадавших протекал значительно тяжелее, чем у больных с изолированной травмой или перенесших плановое оперативное </w:t>
      </w:r>
      <w:r w:rsidRPr="0083733D">
        <w:rPr>
          <w:rFonts w:ascii="Times New Roman" w:hAnsi="Times New Roman" w:cs="Times New Roman"/>
          <w:sz w:val="28"/>
          <w:szCs w:val="28"/>
        </w:rPr>
        <w:lastRenderedPageBreak/>
        <w:t>вмешательство, были более выражены и изменения объема циркулирующей крови, гемоглобина, гематокрита, количества эритроцитов. Тем не менее, на этапе острой травматической болезни и проведения комплексной интенсивной терапии они не снижались до критического для гомеостаза уровня и полностью соответствовали тем ответным реакциям, которые характерны для сочетанной травмы, шока, кровопотери.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В связи с этим можно полагать, что улучшение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гемоконцентрационных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волемических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показателей, стабилизация гемодинамики во второй группе (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10 %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6 %) по сравнению с первой группой (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) связано с применением в программах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терапии коллоидных растворов на основе ГЭК.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>Основная цель включения коллоидных плазмозамещающих растворов в программы ИТТ заключается в устранении дефицита объема циркулирующей крови, стабилизации гемодинамики, нормализации макр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и микроциркуляции, улучшении реологических характеристик крови, восстановлении коллоидно-осмотического давления крови. При этом определяющее значение имеют такие характеристики препарата, как его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осмолярность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, коллоидное осмотическое давление,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волемический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коэффициент, длительность объемного эффекта, период полувыведения, допустимый объем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, влияние на систему гемостаза и реологические свойства крови.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Благодаря высокому коллоидному осмотическому давлению (55 мм рт. ст.),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гиперосмолярности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(315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/л),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волемическому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коэффициенту (130 %) и молекулярной массе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быстро увеличивает объем циркулирующей крови и оказывает гемодинамическое действие. Длительность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волемического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эффекта составляет 5–6 часов. Однако терапевтические возможности растворов декстрана весьма ограничены. Хорошо известно, что первоначальная разовая доза декстрана составляет 1,2 г/кг/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>, а в последующем – 0,6 г/кг/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. Применение больших объемов не оказывает эффект нормализации микроциркуляции и снабжения тканей кислородом, чревато развитием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гипокоагуляции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, кровотечений, увеличением агрегации эритроцитов, так называемой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декстрановой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почки и острой почечной недостаточности. Среди побочных эффектов растворов декстрана, ограничивающих их терапевтические возможности, следует отметить высокую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реактогенность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, повышение вязкости мочи на уровне канальцев и тем самым нарушение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канальцевого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пассажа мочи, частичную блокаду ретикулоэндотелиальной системы, возрастание вязкости крови, дегидратацию тканей. Допустимый объем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растворов на основе декстрана не превышает 800–1000 мл и диктует необходимость раннего, массивного и длительного введения свежезамороженной плазмы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эритроцитной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массы.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Определение состояния кислородно-транспортной функции крови как показателя адекватности коррекции синдрома острой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избранными синтетическими </w:t>
      </w:r>
      <w:r w:rsidRPr="0083733D">
        <w:rPr>
          <w:rFonts w:ascii="Times New Roman" w:hAnsi="Times New Roman" w:cs="Times New Roman"/>
          <w:sz w:val="28"/>
          <w:szCs w:val="28"/>
        </w:rPr>
        <w:lastRenderedPageBreak/>
        <w:t xml:space="preserve">коллоидными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плазмозаменителями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было выполнено у 59 пострадавших (у 29 в первой группе и у 30 – во второй).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>На первые, третьи и пятые сутки после оперативного вмешательства оценивали показатели: DО2 (доставка кислорода), VО2 (потребление кислорода), О2ЕR (экстракция кислорода) (табл. 3). Сравнивая полученные результаты, выявлены достоверные (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&lt; 0,05) отличия между группами по таким трем параметрам, как доставка, потребление и экстракция кислорода, при нормальных показателях сердечного индекса. От первых к третьим суткам доставка кислорода в первой группе составила соответственно 724 ± 30,2, 702 ± 24,7 и 517 ± 34,7 мл/мин/м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>, что по сравнению со второй группой было ниже в среднем на 121,2 мл/мин/м2 (15,2 %). Потребление кислорода во второй группе после операции составило 190 ± 6,4 мл/мин/м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>, в первые сутки – 182 ± 11,7 мл/мин/м2, что в сравнении с контрольной группой было выше на 8,5 ± 0,4 мл/мин/м2 (5,8 %), но уже к третьим суткам потребление кислорода в первой группе стало выше по сравнению со второй группой на 15,0 ± 1,2 мл/мин/м2 (8,8 %).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Соответственно во всех временных промежутках, кроме третьих суток, экстракция кислорода в исследуемых группах была ниже в сравнении с контрольной в среднем на 5,7 %. На третьи сутки отмечено значительное повышение О2ЕR в первой группе до 33,0 ± 0,4 %, что было обусловлено возросшей потребностью в кислороде на фоне снижения его доставки. К пятым суткам после операции все оцениваемые параметры кислородтранспортной функции крови во всех группах практически нормализовались, хотя в первой группе этот процесс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происходил медленней и сохранялась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тенденция к снижению DО2 и VО2 на фоне увеличения коэффициента экстракции кислорода. Это, возможно, связано с побочными свойствами декстрана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Полиглюкина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(влияние на микроциркуляторное русло, недостаточное поддержание сердечного индекса при коррекции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>). Особенно ярко это проявилось на третьи сутки послеоперационного периода.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733D">
        <w:rPr>
          <w:rFonts w:ascii="Times New Roman" w:hAnsi="Times New Roman" w:cs="Times New Roman"/>
          <w:sz w:val="28"/>
          <w:szCs w:val="28"/>
        </w:rPr>
        <w:t xml:space="preserve">Полученные нами данные оптимальных значений транспорта и потребления кислорода во второй группе для исследуемой категории пострадавших подтверждают, что устранение острой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растворами ГЭК (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6%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10%) приводит к улучшению перфузии тканей, увеличению доставки и потребления кислорода тканями (на 20–30 %), а значит, и к нормализации центральной и периферической гемодинамики, улучшению реологических свойств крови, микроциркуляции.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При снижении доставки и потребления кислорода развивается выраженная кислородная задолженность. Компенсаторные реакции, возникающие при этом, включают в себя тахикардию, повышение сердечного выброса, повышение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контрактильной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способности миокарда, изменение тонуса сосудов,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 активацию потребления кислорода. Важным моментом при этом является нормализация экстракции кислорода, что в конечном итоге нормализует биоэлектрические процессы на клеточном уровне. Следовательно, именно эта степень </w:t>
      </w:r>
      <w:r w:rsidRPr="0083733D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во второй группе достоверно значимо доказывает наибольшую адекватность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периоперационной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терапии с использованием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плазмозаменителей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на основе ГЭК.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33D">
        <w:rPr>
          <w:rFonts w:ascii="Times New Roman" w:hAnsi="Times New Roman" w:cs="Times New Roman"/>
          <w:sz w:val="28"/>
          <w:szCs w:val="28"/>
        </w:rPr>
        <w:t>Заключение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Проведенное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рандомизированное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исследование по оценке эффективности коррекции синдрома острой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у пострадавших с тяжелой сочетанной травмой синтетическими коллоидными растворами продемонстрировало высокую эффективность применения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плазмозаменителей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гидроксиэтилкрахмала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10%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6%) в сравнении с принятым на табельном оснащении декстраном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Полиглюкином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>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Хотя стабилизация гемодинамических,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волемических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гемоконцентрационных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показателей во всех группах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начиная с первых суток оказания хирургической помощи и интенсивной терапии была однонаправленна и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не носила критического характера, «цена» достижения их адекватного уровня в исследуемых группах была различной. При использовании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Полиглюкина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объем и сроки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свежезамороженной плазмы, гемотрансфузий были в 1,5–2 раза больше, чем при применении коллоидных растворов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6 %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10 %, что значительно повышает риск осложнений ИТТ и увеличивает материальные затраты. Это обусловлено выявленными при исследовании позитивными свойствами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6% 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10%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улучшать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перфузию тканей, увеличивать доставку и потребление кислорода тканями, обеспечивать стойкий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волемический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эффект. При этом терапевтические возможности растворов ГЭК обусловлены их основными свойствами. Действие ГЭК по возмещению внутрисосудистого объема жидкости основано на выраженной способности 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>связывать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 xml:space="preserve"> воду. Объемный эффект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6 % составляет 100 %,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10 % – 140 %. Продолжительность объемного действия соответственно 3–4 и 5–6 часов. Коллоидное осмотическое давление – 28 мм рт. ст.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Другим немаловажным моментом является отсутствие расстройств со стороны систем гемостаза и положительное влияние на показатели реологии крови. При этом суточная доза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6 % составляет 33 мл/кг,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ГЭК 10 % – 20 мл/кг. Все это не только повышает безопасность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терапии, включающей растворы ГЭК, но и расширяет возможности реализации больших объемов с высокой скоростью введения, особенно показанной при неотложных состояниях и в экстремальных условиях.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>Литература: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Б.А. Кровезаменители. СПб: Издательство «Человек», 2001.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Шифман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Такинадзе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терапия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периоперационного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периода. Петрозаводск: «Интел</w:t>
      </w:r>
      <w:proofErr w:type="gramStart"/>
      <w:r w:rsidRPr="008373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83733D">
        <w:rPr>
          <w:rFonts w:ascii="Times New Roman" w:hAnsi="Times New Roman" w:cs="Times New Roman"/>
          <w:sz w:val="28"/>
          <w:szCs w:val="28"/>
        </w:rPr>
        <w:t>ек», 2001.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3. Буланов С.А., Городецкий В.М.,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Шулутко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Е.М. Коллоидные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объемозамещающие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растворы и гемостаз // Российский журнал анестезиологии и интенсивной терапии. 1999. № 2. С. 25–31.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4. Молчанов И.В., Буланов А.Ю.,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Шулутко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Е.М. Некоторые аспекты безопасности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терапии // Клиническая анестезиология и реаниматология. 2004. Т. 1. № 3. С. 19–24.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733D">
        <w:rPr>
          <w:rFonts w:ascii="Times New Roman" w:hAnsi="Times New Roman" w:cs="Times New Roman"/>
          <w:sz w:val="28"/>
          <w:szCs w:val="28"/>
        </w:rPr>
        <w:t xml:space="preserve">5. Свиридов С.В. Гетерогенные коллоидные плазмозамещающие растворы: настоящее и будущее // Российский журнал анестезиологии и интенсивной терапии. 1999. </w:t>
      </w:r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№ 2. </w:t>
      </w:r>
      <w:r w:rsidRPr="0083733D">
        <w:rPr>
          <w:rFonts w:ascii="Times New Roman" w:hAnsi="Times New Roman" w:cs="Times New Roman"/>
          <w:sz w:val="28"/>
          <w:szCs w:val="28"/>
        </w:rPr>
        <w:t>С</w:t>
      </w:r>
      <w:r w:rsidRPr="0083733D">
        <w:rPr>
          <w:rFonts w:ascii="Times New Roman" w:hAnsi="Times New Roman" w:cs="Times New Roman"/>
          <w:sz w:val="28"/>
          <w:szCs w:val="28"/>
          <w:lang w:val="en-US"/>
        </w:rPr>
        <w:t>. 13–17.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Beez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M.G.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Hydroxyethylstarch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: A new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plasmasubstitute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for management of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hypovolemia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and shock.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Int.Rev.Armed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Forces Med.Serv.7/8/</w:t>
      </w:r>
      <w:proofErr w:type="gramStart"/>
      <w:r w:rsidRPr="0083733D">
        <w:rPr>
          <w:rFonts w:ascii="Times New Roman" w:hAnsi="Times New Roman" w:cs="Times New Roman"/>
          <w:sz w:val="28"/>
          <w:szCs w:val="28"/>
          <w:lang w:val="en-US"/>
        </w:rPr>
        <w:t>9:223(</w:t>
      </w:r>
      <w:proofErr w:type="gramEnd"/>
      <w:r w:rsidRPr="0083733D">
        <w:rPr>
          <w:rFonts w:ascii="Times New Roman" w:hAnsi="Times New Roman" w:cs="Times New Roman"/>
          <w:sz w:val="28"/>
          <w:szCs w:val="28"/>
          <w:lang w:val="en-US"/>
        </w:rPr>
        <w:t>1994).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Rackow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E.C.,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Mecher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C.,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Astiz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M.E </w:t>
      </w:r>
      <w:proofErr w:type="gramStart"/>
      <w:r w:rsidRPr="0083733D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all. </w:t>
      </w:r>
      <w:proofErr w:type="gramStart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Effects of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pentastarch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and cardiorespiratory function and coagulation in patients with severe sepsis and systemic </w:t>
      </w:r>
      <w:proofErr w:type="spellStart"/>
      <w:r w:rsidRPr="0083733D">
        <w:rPr>
          <w:rFonts w:ascii="Times New Roman" w:hAnsi="Times New Roman" w:cs="Times New Roman"/>
          <w:sz w:val="28"/>
          <w:szCs w:val="28"/>
          <w:lang w:val="en-US"/>
        </w:rPr>
        <w:t>hypoperfusion</w:t>
      </w:r>
      <w:proofErr w:type="spellEnd"/>
      <w:r w:rsidRPr="008373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3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Crit.Care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33D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83733D">
        <w:rPr>
          <w:rFonts w:ascii="Times New Roman" w:hAnsi="Times New Roman" w:cs="Times New Roman"/>
          <w:sz w:val="28"/>
          <w:szCs w:val="28"/>
        </w:rPr>
        <w:t xml:space="preserve">. 17:394(1989). </w:t>
      </w:r>
    </w:p>
    <w:p w:rsidR="00334287" w:rsidRPr="0083733D" w:rsidRDefault="00334287" w:rsidP="00334287">
      <w:pPr>
        <w:rPr>
          <w:rFonts w:ascii="Times New Roman" w:hAnsi="Times New Roman" w:cs="Times New Roman"/>
          <w:sz w:val="28"/>
          <w:szCs w:val="28"/>
        </w:rPr>
      </w:pPr>
    </w:p>
    <w:sectPr w:rsidR="00334287" w:rsidRPr="0083733D" w:rsidSect="00A93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A2"/>
    <w:rsid w:val="000430A2"/>
    <w:rsid w:val="00334287"/>
    <w:rsid w:val="0083733D"/>
    <w:rsid w:val="00960A81"/>
    <w:rsid w:val="00A064DB"/>
    <w:rsid w:val="00A93127"/>
    <w:rsid w:val="00B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2931</Words>
  <Characters>16708</Characters>
  <Application>Microsoft Office Word</Application>
  <DocSecurity>0</DocSecurity>
  <Lines>139</Lines>
  <Paragraphs>39</Paragraphs>
  <ScaleCrop>false</ScaleCrop>
  <Company>Home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2012-02-23T13:23:00Z</dcterms:created>
  <dcterms:modified xsi:type="dcterms:W3CDTF">2012-02-23T17:34:00Z</dcterms:modified>
</cp:coreProperties>
</file>