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38" w:rsidRPr="00BA58F5" w:rsidRDefault="00452F38" w:rsidP="00452F38">
      <w:pPr>
        <w:rPr>
          <w:rFonts w:ascii="Times New Roman" w:hAnsi="Times New Roman" w:cs="Times New Roman"/>
          <w:b/>
          <w:sz w:val="32"/>
          <w:szCs w:val="32"/>
        </w:rPr>
      </w:pPr>
      <w:r w:rsidRPr="00BA58F5">
        <w:rPr>
          <w:rFonts w:ascii="Times New Roman" w:hAnsi="Times New Roman" w:cs="Times New Roman"/>
          <w:b/>
          <w:sz w:val="32"/>
          <w:szCs w:val="32"/>
        </w:rPr>
        <w:t xml:space="preserve">Рациональная </w:t>
      </w:r>
      <w:proofErr w:type="spellStart"/>
      <w:r w:rsidRPr="00BA58F5">
        <w:rPr>
          <w:rFonts w:ascii="Times New Roman" w:hAnsi="Times New Roman" w:cs="Times New Roman"/>
          <w:b/>
          <w:sz w:val="32"/>
          <w:szCs w:val="32"/>
        </w:rPr>
        <w:t>инфузионная</w:t>
      </w:r>
      <w:proofErr w:type="spellEnd"/>
      <w:r w:rsidRPr="00BA58F5">
        <w:rPr>
          <w:rFonts w:ascii="Times New Roman" w:hAnsi="Times New Roman" w:cs="Times New Roman"/>
          <w:b/>
          <w:sz w:val="32"/>
          <w:szCs w:val="32"/>
        </w:rPr>
        <w:t xml:space="preserve"> терапия у больных в критических состояниях</w:t>
      </w:r>
      <w:r w:rsidR="00BA58F5">
        <w:rPr>
          <w:rFonts w:ascii="Times New Roman" w:hAnsi="Times New Roman" w:cs="Times New Roman"/>
          <w:b/>
          <w:sz w:val="32"/>
          <w:szCs w:val="32"/>
        </w:rPr>
        <w:t>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Бутров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, А.Ю. Борисов, С.В. Галенко</w:t>
      </w:r>
      <w:r w:rsidR="00BA58F5">
        <w:rPr>
          <w:rFonts w:ascii="Times New Roman" w:hAnsi="Times New Roman" w:cs="Times New Roman"/>
          <w:sz w:val="24"/>
          <w:szCs w:val="24"/>
        </w:rPr>
        <w:t xml:space="preserve">. </w:t>
      </w:r>
      <w:r w:rsidRPr="00452F38">
        <w:rPr>
          <w:rFonts w:ascii="Times New Roman" w:hAnsi="Times New Roman" w:cs="Times New Roman"/>
          <w:sz w:val="24"/>
          <w:szCs w:val="24"/>
        </w:rPr>
        <w:t>РУДН, кафедра анестезиологии и реаниматологии, Москва</w:t>
      </w:r>
      <w:r w:rsidR="00BA58F5">
        <w:rPr>
          <w:rFonts w:ascii="Times New Roman" w:hAnsi="Times New Roman" w:cs="Times New Roman"/>
          <w:sz w:val="24"/>
          <w:szCs w:val="24"/>
        </w:rPr>
        <w:t>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Одним из основных звеньев патогенеза многих критических состояний – острой кровопотери, сепсиса, шокового состояния различной этиологии и других – является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По признанию большинства исследователей и клиницистов, «нормальный внутрисосудистый объем – краеугольный камень жизнеобеспечения». Снижение объема циркулирующей крови влечет за собой выраженные нарушения микроциркуляции во внутренних органах. Циркуляторная недостаточность приводит к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спланхнической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ишемии с развитием синдрома кишечной недостаточности. Повреждается барьерная функция кишечника, что способствует бактериальной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транслокации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 развитием инфекционных осложнений и синдрома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мультиорганной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дисфункции [4, 8].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: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неадекватный объем циркулирующей крови,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тканевая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гипоперфузия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клеточная гипоксия,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активация патологических путей воспаления,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ССВР,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СПОН,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смерть.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инфузионно-трасфузионная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терапия – важный компонент лечения большинства критических состояний, необходимый для восстановления системной гемодинамики. Патогенетическая роль снижения ОЦК в развитии тяжелых нарушений гомеостаза предопределяет значение своевременной и адекватной коррекции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волемических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нарушений на исходы лечения больных в критическом состоянии. В этой связи,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принадлежит ведущая роль в восстановлении и поддержании адекватного гемодинамическим запросам объема циркулирующей крови, нормализации реологических свой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ови и водно-электролитного баланса. Риск усугубления органно-системных повреждений возрастает в условиях неадекватной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терапии. Большинство осложнений являются результатом неспособности предотвратить развитие скрытой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Вместе с тем эффективность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во многом зависит от целенаправленного обоснования ее программы, характеристик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растворов, их фармакологических свойств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[3, 13].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терапии: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волюмокоррекция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– восстановление адекватного объема циркулирующей крови (ОЦК) и нормализация ее состава при кровопотере;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гемореокоррекция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– нормализация гомеостатических и реологических свой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>ови;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регидратация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– поддержание нормальной микр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макроциркуляции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(в частности, при клинически отчетливой дегидратации);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нормализация электролитного баланса и кислотно-основного равновесия [4].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Как известно, существует три типа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сред для внутривенного введения: кристаллоиды, коллоиды и компоненты крови.</w:t>
      </w:r>
      <w:r w:rsidR="00BA5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Растворы кристаллоидов содержат воду и электролиты, бывают сбалансированными, гипертоническими и гипотоническими. Основные преимущества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кристаллоидных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растворов –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реактогеность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отсутствие влияния на функцию почек и иммунную систему, а также отсутствие значимого влияния на систему гемостаза. Растворы кристаллоидов, в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сбалансированные солевые растворы (Калия и магния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аспарагинат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раствор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Рингера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Гартмана,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мафусол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), корригируют электролитный баланс [2, 10].</w:t>
      </w:r>
      <w:r w:rsidR="00BA5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Главным недостатком кристаллоидов является их быстрое перераспределение из сосудистого русла в межклеточное пространство: 75–80 % введенного препарата через один-два часа после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оказывается в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интерстиции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В связи со столь непродолжительным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волемическим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эффектом для поддержания ОЦК при изолированном применении солевых растворов требуется введение большого объема растворов, что чревато риском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гиперволемии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, развития отечного синдрома [11, 12].</w:t>
      </w:r>
      <w:r w:rsidR="00BA58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Калий и магний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аспарагинат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(КМА), не содержащий глюкозы, тем не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способствует проникновению калия и магния внутрь клетки для восстановления дефицита, закономерно возникающего при ишемии органов. Механизмы развития дефицита калия и магния в настоящее время хорошо изучены, к ним относятся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гиперкатехоламинемия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гиперкортицизм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гиперальдестеронизм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– закономерные реакции организма на любой стресс. Выведение калия с задержкой натрия – филогенетически закрепленный механизм удержания воды при кровопотере,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То же можно сказать и о дефиците магния, который, как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может быть спровоцирован экзогенным путем (прием мочегонных препаратов). Известно, что магний способствует нормализации внутриклеточного содержания калия и кальция и тем самым снижает тонус сосудов, предотвращает некроз клеток и их электрическую нестабильность. </w:t>
      </w:r>
      <w:r w:rsidRPr="00A50286">
        <w:rPr>
          <w:rFonts w:ascii="Times New Roman" w:hAnsi="Times New Roman" w:cs="Times New Roman"/>
          <w:b/>
          <w:sz w:val="24"/>
          <w:szCs w:val="24"/>
        </w:rPr>
        <w:t xml:space="preserve">Являясь физиологическим антагонистом кальция, магний способен оказывать реологическое действие, вызывать расширение сосудов, </w:t>
      </w:r>
      <w:proofErr w:type="spellStart"/>
      <w:r w:rsidRPr="00A50286">
        <w:rPr>
          <w:rFonts w:ascii="Times New Roman" w:hAnsi="Times New Roman" w:cs="Times New Roman"/>
          <w:b/>
          <w:sz w:val="24"/>
          <w:szCs w:val="24"/>
        </w:rPr>
        <w:t>урежать</w:t>
      </w:r>
      <w:proofErr w:type="spellEnd"/>
      <w:r w:rsidRPr="00A50286">
        <w:rPr>
          <w:rFonts w:ascii="Times New Roman" w:hAnsi="Times New Roman" w:cs="Times New Roman"/>
          <w:b/>
          <w:sz w:val="24"/>
          <w:szCs w:val="24"/>
        </w:rPr>
        <w:t xml:space="preserve"> пульс и тем самым также снижать потребление кислорода миокардом.</w:t>
      </w:r>
      <w:r w:rsidRPr="00452F38">
        <w:rPr>
          <w:rFonts w:ascii="Times New Roman" w:hAnsi="Times New Roman" w:cs="Times New Roman"/>
          <w:sz w:val="24"/>
          <w:szCs w:val="24"/>
        </w:rPr>
        <w:t xml:space="preserve"> Отсутствие побочных реакций и противопоказаний позволяет использовать КМА для метаболического воздействия на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ишемизированные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органы, в частности миокард, предполагая ускоренное его заживление, антиаритмический эффект, умеренное гипотензивное и реологическое действие [7, 15].</w:t>
      </w:r>
      <w:r w:rsidR="00BA5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К компонентам крови относят свежезамороженную плазму (СЗП) и раствор альбумина. По своему влиянию на систему гемостаза СЗП является оптимальной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средой. Однако ряд свойств существенно ограничивают ее применение. В первую очередь это высокий риск переноса вирусных инфекций. Кроме того, плазма донора содержит антитела и лейкоциты, которые являются мощным фактором в развитии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лейкоаглютинации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 системной воспалительной реакции. Это приводит к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генерализованному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повреждению эндотелия, в первую очередь сосудов малого круга кровообращения [2].</w:t>
      </w:r>
      <w:r w:rsidR="00BA58F5">
        <w:rPr>
          <w:rFonts w:ascii="Times New Roman" w:hAnsi="Times New Roman" w:cs="Times New Roman"/>
          <w:sz w:val="24"/>
          <w:szCs w:val="24"/>
        </w:rPr>
        <w:t xml:space="preserve"> </w:t>
      </w:r>
      <w:r w:rsidRPr="00452F38">
        <w:rPr>
          <w:rFonts w:ascii="Times New Roman" w:hAnsi="Times New Roman" w:cs="Times New Roman"/>
          <w:sz w:val="24"/>
          <w:szCs w:val="24"/>
        </w:rPr>
        <w:t xml:space="preserve">На сегодняшний день общепризнанно, что переливание СЗП в клинической практике проводится только с целью предотвращения или восстановления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гемостатических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нарушений, связанных с дефицитом факторов свертывания крови [2, 3].</w:t>
      </w:r>
      <w:r w:rsidR="002F2E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Многие проведенные клинические исследования послужили основанием для заключения, что растворы альбумина не могут служить средством первой очереди для коррекции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Альбумин в настоящее время следует рассматривать как препарат, имеющий свою «нишу», показания к трансфузиям альбумина сегодня можно свести лишь к необходимости коррекции выраженной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гипоальбуминемии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использование альбумина и СЗП ограничивается их высокой стоимостью, на порядок и более превышающей стоимость современных синтетических коллоидных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плазмозаменителей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[8, 9].</w:t>
      </w:r>
      <w:r w:rsidR="002F2E62">
        <w:rPr>
          <w:rFonts w:ascii="Times New Roman" w:hAnsi="Times New Roman" w:cs="Times New Roman"/>
          <w:sz w:val="24"/>
          <w:szCs w:val="24"/>
        </w:rPr>
        <w:t xml:space="preserve"> </w:t>
      </w:r>
      <w:r w:rsidRPr="00452F38">
        <w:rPr>
          <w:rFonts w:ascii="Times New Roman" w:hAnsi="Times New Roman" w:cs="Times New Roman"/>
          <w:sz w:val="24"/>
          <w:szCs w:val="24"/>
        </w:rPr>
        <w:t xml:space="preserve">К искусственным коллоидным растворам относятся декстраны, производные желатина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гидроксиэтилированные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крахмалы.</w:t>
      </w:r>
      <w:r w:rsidR="002F2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F2E62">
        <w:rPr>
          <w:rFonts w:ascii="Times New Roman" w:hAnsi="Times New Roman" w:cs="Times New Roman"/>
          <w:b/>
          <w:sz w:val="24"/>
          <w:szCs w:val="24"/>
        </w:rPr>
        <w:t>Декстран</w:t>
      </w:r>
      <w:r w:rsidRPr="00452F38">
        <w:rPr>
          <w:rFonts w:ascii="Times New Roman" w:hAnsi="Times New Roman" w:cs="Times New Roman"/>
          <w:sz w:val="24"/>
          <w:szCs w:val="24"/>
        </w:rPr>
        <w:t xml:space="preserve"> – водорастворимый высокомолекулярный полисахарид. Плазмозамещающие средства на основе декстрана делят на две основные группы: низкомолекулярные декстраны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среднемолекулярные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декстраны.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вызывают объемный эффект до 130 % продолжительностью 4–6 часов. Низкомолекулярные декстраны вызывают объемный эффект до 175 % продолжительностью 3–4 часа. Основная проблема при использовании в качестве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объемозамещающих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средств на основе декстрана,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сравнительно высокой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реактогенности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заключается в их узком терапевтическом окне. Применение больших объемов растворов декстрана способствует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пролонгированию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состояния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гипокоагуляции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за счет их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гепариноподобного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действия, может привести к блокаде РЭС и к возникновению «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декстранового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ожога почки». Передозировка растворов на основе декстрана может привести к различным патологическим изменениям со стороны легких; дегидратации тканей; почечной недостаточности; патологическим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интр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и послеоперационным кровотечениям [14].</w:t>
      </w:r>
      <w:r w:rsidR="002F2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F2E62">
        <w:rPr>
          <w:rFonts w:ascii="Times New Roman" w:hAnsi="Times New Roman" w:cs="Times New Roman"/>
          <w:b/>
          <w:sz w:val="24"/>
          <w:szCs w:val="24"/>
        </w:rPr>
        <w:t>Желатины</w:t>
      </w:r>
      <w:r w:rsidRPr="00452F38">
        <w:rPr>
          <w:rFonts w:ascii="Times New Roman" w:hAnsi="Times New Roman" w:cs="Times New Roman"/>
          <w:sz w:val="24"/>
          <w:szCs w:val="24"/>
        </w:rPr>
        <w:t xml:space="preserve"> являются полипептидами, получаемыми из коллагена крупного рогатого скота, и классифицируются по принципу разницы получения растворов (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оксижелатины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, растворы связанного с мочевиной желатина и растворы жидкого модифицированного желатина). Растворы на основе желатинов являются наименее токсичными, могут применяться у больных с патологией почек. Производные желатина увеличивают объем плазмы на 100 %, но этот эффект непродолжителен и составляет 3–4 часа [5, 8].</w:t>
      </w:r>
      <w:r w:rsidR="002F2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E4793" w:rsidRPr="003E4793">
        <w:rPr>
          <w:rFonts w:ascii="Times New Roman" w:hAnsi="Times New Roman" w:cs="Times New Roman"/>
          <w:b/>
          <w:sz w:val="24"/>
          <w:szCs w:val="24"/>
        </w:rPr>
        <w:t>ГЭК</w:t>
      </w:r>
      <w:r w:rsidR="003E4793" w:rsidRPr="003E4793">
        <w:rPr>
          <w:rFonts w:ascii="Times New Roman" w:hAnsi="Times New Roman" w:cs="Times New Roman"/>
          <w:b/>
          <w:sz w:val="24"/>
          <w:szCs w:val="24"/>
        </w:rPr>
        <w:t>.</w:t>
      </w:r>
      <w:r w:rsidR="003E4793" w:rsidRPr="00452F38">
        <w:rPr>
          <w:rFonts w:ascii="Times New Roman" w:hAnsi="Times New Roman" w:cs="Times New Roman"/>
          <w:sz w:val="24"/>
          <w:szCs w:val="24"/>
        </w:rPr>
        <w:t xml:space="preserve"> </w:t>
      </w:r>
      <w:r w:rsidRPr="00452F38">
        <w:rPr>
          <w:rFonts w:ascii="Times New Roman" w:hAnsi="Times New Roman" w:cs="Times New Roman"/>
          <w:sz w:val="24"/>
          <w:szCs w:val="24"/>
        </w:rPr>
        <w:t xml:space="preserve">За последнее десятилетие во многих странах мира класс коллоидных плазмозамещающих средств на основе </w:t>
      </w:r>
      <w:proofErr w:type="spellStart"/>
      <w:r w:rsidRPr="00FA3164">
        <w:rPr>
          <w:rFonts w:ascii="Times New Roman" w:hAnsi="Times New Roman" w:cs="Times New Roman"/>
          <w:b/>
          <w:sz w:val="24"/>
          <w:szCs w:val="24"/>
        </w:rPr>
        <w:t>гидроксиэтилированного</w:t>
      </w:r>
      <w:proofErr w:type="spellEnd"/>
      <w:r w:rsidRPr="00FA3164">
        <w:rPr>
          <w:rFonts w:ascii="Times New Roman" w:hAnsi="Times New Roman" w:cs="Times New Roman"/>
          <w:b/>
          <w:sz w:val="24"/>
          <w:szCs w:val="24"/>
        </w:rPr>
        <w:t xml:space="preserve"> крахмала (ГЭК)</w:t>
      </w:r>
      <w:r w:rsidRPr="00452F38">
        <w:rPr>
          <w:rFonts w:ascii="Times New Roman" w:hAnsi="Times New Roman" w:cs="Times New Roman"/>
          <w:sz w:val="24"/>
          <w:szCs w:val="24"/>
        </w:rPr>
        <w:t xml:space="preserve"> занял лидирующее положение. Целевая разработка и введение в медицинскую практику коллоидных растворов ГЭК открыли новые возможности решения существующих в практике проблем. ГЭК представляет собой высокомолекулярную субстанцию, состоящую из полимеризованных остатков глюкозы. Исходным сырьем для получения ГЭК служат крахмал из клубней картофеля, а также зерна различных сортов кукурузы, пшеницы и риса. ГЭК из картофеля, а также из зерен кукурузы восковой спелости, наряду с линейными цепями амилозы, содержит фракцию разветвленного амилопектина. Высокое содержание амилопектина в крахмале картофеля (75–80 %), а также в крахмале кукурузы восковой спелости (свыше 95 %) позволяет применять их после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 качестве сырья для приготовления плазмозамещающих препаратов [3, 8].</w:t>
      </w:r>
      <w:r w:rsidR="00903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При сопоставлении с коллоидными плазмозамещающими растворами, произведенными из сырья иного происхождения (альбумин, декстран, желатин), выявляются особенности и преимущества коллоидных растворов на основе ГЭК. В первую очередь это касается безопасности применения и исключительно низкой частоты побочных реакций, что обусловлено структурным сходством молекул ГЭК и гликогена. Растворы ГЭК значительно реже, чем растворы желатина и декстрана, вызывают аллергические реакции. При применении растворов ГЭК не зарегистрированы также и другие нежелательные реакции, возникающие при применении других средств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терапии: не выявлено повышения уровня гистамина, возникающего при прямом введении растворов желатина, не установлено появление реакций антиген-антитело, характерных для растворов декстрана [2, 14].</w:t>
      </w:r>
      <w:r w:rsidR="00B16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Основными параметрами, отражающими физико-химические свойства препаратов на основе ГЭК, являются: </w:t>
      </w:r>
      <w:proofErr w:type="gramStart"/>
      <w:r w:rsidRPr="005E188C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5E188C">
        <w:rPr>
          <w:rFonts w:ascii="Times New Roman" w:hAnsi="Times New Roman" w:cs="Times New Roman"/>
          <w:b/>
          <w:sz w:val="24"/>
          <w:szCs w:val="24"/>
        </w:rPr>
        <w:t>М – молекулярная масса; MS – молекулярное замещение; DS – степень замещения.</w:t>
      </w:r>
      <w:r w:rsidRPr="00452F38">
        <w:rPr>
          <w:rFonts w:ascii="Times New Roman" w:hAnsi="Times New Roman" w:cs="Times New Roman"/>
          <w:sz w:val="24"/>
          <w:szCs w:val="24"/>
        </w:rPr>
        <w:t xml:space="preserve"> Растворы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крахмала – полидисперсные и содержат молекулы различной массы. Чем больше молекулярная масса, например 200–450 тыс. Д, и степень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замещенности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(от 0,5 до 0,7), </w:t>
      </w:r>
      <w:r w:rsidR="009B3F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2F38">
        <w:rPr>
          <w:rFonts w:ascii="Times New Roman" w:hAnsi="Times New Roman" w:cs="Times New Roman"/>
          <w:sz w:val="24"/>
          <w:szCs w:val="24"/>
        </w:rPr>
        <w:t xml:space="preserve">тем дольше препарат будет оставаться в просвете сосуда. Препараты со средней </w:t>
      </w:r>
      <w:r w:rsidRPr="00452F38">
        <w:rPr>
          <w:rFonts w:ascii="Times New Roman" w:hAnsi="Times New Roman" w:cs="Times New Roman"/>
          <w:sz w:val="24"/>
          <w:szCs w:val="24"/>
        </w:rPr>
        <w:lastRenderedPageBreak/>
        <w:t>молекулярной массой 200 тыс. Д и степенью замещения 0,5 отнесены к фармакологической группе «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Pentastarch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», а препараты с высокой молекулярной массой 450 тыс. Д и степенью замещения 0,7 – к фармакологической группе «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Hetastarch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», в которой следует выделить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Данное обстоятельство следует учитывать при выборе конкретного препарата на основе ГЭК для проведения целенаправленной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Средневесовое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значение молекулярного веса (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) рассчитывается из весовой доли отдельных видов молекул и их молекулярных весов.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составляет 450 тыс.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Чем ниже молекулярный вес и чем больше в полидисперсном препарате находится низкомолекулярных фракций, тем выше коллоидно-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онкотическое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давление (КОД). КОД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равен 18 мм рт. ст. Очень важно, что при эффективных значениях КОД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обладает высокой молекулярной массой, что и предопределяет преимущества его использования перед альбумином, плазмой и декстранами в условиях повышенной проницаемости эндотелия. Растворы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крахмала способны «запечатывать» поры в эндотелии, появляющиеся при разных формах его повреждения [2, 6].</w:t>
      </w:r>
      <w:r w:rsidR="00C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Растворы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крахмала обычно оказывают влияние на объем внутрисосудистой жидкости в течение 24 часов,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– в течение 30 часов. Основной путь выведения – почечная экскреция. Полимеры ГЭК молекулярной массой менее 59 КД практически сразу удаляются из крови путем клубочковой фильтрации. Почечная элиминация путем фильтрации продолжается и после гидролиза более крупных фрагментов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более мелкие.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Онкотическое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давление, создаваемое растворами ГЭК, не влияет на ток через крупные поры, а затрагивает в основном ток через мелкие поры, которых в капиллярах большинство [6, 9].</w:t>
      </w:r>
      <w:r w:rsidR="00C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Клинические наблюдения позволяют предположить, что, в дополнение к свойствам идеального восполнения объема,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еще имеет и фармакологические свойства: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1) в противоположность свежезамороженной плазме и растворам кристаллоидов может уменьшать «капиллярную утечку» и отек тканей;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2) в условиях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ишемически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реперфузионного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повреждения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снижает степень повреждения легких и внутренних органов, а также выброс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ксантиноксидазы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гиповолемическом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шоке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терапия с применением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снижает частоту развития отека легких по сравнению с применением альбумина и физиологического раствора хлорида натрия;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снижает концентрацию циркулирующего фактора VIII и ингибирует выброс фактора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Виллебрандта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из эндотелиальных клеток. Это позволяет предположить, что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ингибировать экспрессию Р-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селектина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 активацию клеток эндотелия. Поскольку взаимодействие лейкоцитов и эндотелия определяет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трансэндотелиальный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выход и тканевую инфильтрацию лейкоцитами, влияние на этот патогенетический механизм может уменьшить выраженность повреждения тканей при многих критических состояниях. Это, по-видимому, может играть важную роль у больных с исходно низкими концентрациями факторов свертывания, где надежный гемостаз абсолютно необходим.</w:t>
      </w:r>
      <w:r w:rsidR="00C7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Тщательный клинический анализ использования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 интенсивной терапии показал следующие его качества: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он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высоко эффективен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 шоке за счет нормализации гемодинамики, микроциркуляции, улучшения доставки и потребления кислорода органами и тканями, восстановления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порозных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стенок капилляров;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эффективно и в достаточной мере улучшает реологические свойства крови – снижает показатель гематокрита, уменьшает вязкость плазмы, снижает агрегацию тромбоцитов, препятствует агрегации эритроцитов;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lastRenderedPageBreak/>
        <w:t>• в связи с разрешенными высокими дозировками (до 20 мл/кг веса тела в сутки для 6 % раствора) позволяет отказаться от применения других коллоидов;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в применяемых дозировках не оказывает влияния на систему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гемокоагуляции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позволяет полностью отказаться и/или резко сократить использование препаратов донорской крови, сопутствующую медикаментозную терапию;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практически не вызывает побочных и аллергических реакций и обладает хорошей переносимостью [9].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Первые 10–20 мл раствора следует вводить медленно и при строгом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состоянием пациентов. Суточная доза и скорость вливания зависят от размеров потери крови и значения гематокрита. Продолжительность и масштабы терапии зависят от продолжительности и масштабов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При замещении объема крови среднесуточная доза составляет, как правило, 500–1000 мл. При отсутствии острой экстренной ситуации рекомендуемая продолжительность вливания составляет не менее 30 минут на 500 мл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[9].</w:t>
      </w:r>
      <w:r w:rsidR="00C7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 подавляющем большинстве случаев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52F38">
        <w:rPr>
          <w:rFonts w:ascii="Times New Roman" w:hAnsi="Times New Roman" w:cs="Times New Roman"/>
          <w:sz w:val="24"/>
          <w:szCs w:val="24"/>
        </w:rPr>
        <w:t xml:space="preserve"> обеспечить в более экономичном варианте терапию острых критических состояний. Накапливающийся клинический опыт свидетельствует о том, что при некоторых патологических состояниях применение растворов ГЭК оказывается предпочтительней в сравнении с введением других коллоидных растворов [5].</w:t>
      </w:r>
      <w:r w:rsidR="00C75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F38">
        <w:rPr>
          <w:rFonts w:ascii="Times New Roman" w:hAnsi="Times New Roman" w:cs="Times New Roman"/>
          <w:sz w:val="24"/>
          <w:szCs w:val="24"/>
        </w:rPr>
        <w:t xml:space="preserve">На большом клиническом отечественном и зарубежном опыте показано, что при оказании помощи больным в палатах интенсивной терапии повседневное применение растворов ГЭК обеспечивает высокую эффективность и предсказуемость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терапии, сокращение использования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сред, ограничение применения препаратов крови, многократное сокращение вводимых объемов свежезамороженной плазмы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эритроцитной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массы и, как следствие – значительное сокращение стоимости лечения в расчете на одного пациента [1, 4].</w:t>
      </w:r>
      <w:proofErr w:type="gramEnd"/>
      <w:r w:rsidR="00C75AA4">
        <w:rPr>
          <w:rFonts w:ascii="Times New Roman" w:hAnsi="Times New Roman" w:cs="Times New Roman"/>
          <w:sz w:val="24"/>
          <w:szCs w:val="24"/>
        </w:rPr>
        <w:t xml:space="preserve"> </w:t>
      </w:r>
      <w:r w:rsidRPr="00452F38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считать, что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может применяться для восполнения кровопотери и является высокоэффективным средством. Вызываемая его введением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гемодилюция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сохраняется в течение первых суток после операции, не приводя к существенному снижению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гемокоагуляционного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потенциала и увеличению риска геморрагических осложнений, а снижение агрегации тромбоцитов способствует ликвидации их относительного дефицита и нормализации агрегационных свойств эритроцитов. Кроме того, именно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гемодилюция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оказывает профилактическое действие в плане послеоперационной анемии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гипопротеинемии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как прямое, так и опосредованное через улучшение микроциркуляции и снижение интерстициального отека тканей. В силу этих же причин при замещении кровопотери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Стабизолом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отмечается более благоприятное течение послеоперационного периода.</w:t>
      </w:r>
      <w:r w:rsidR="00C75A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2F38">
        <w:rPr>
          <w:rFonts w:ascii="Times New Roman" w:hAnsi="Times New Roman" w:cs="Times New Roman"/>
          <w:sz w:val="24"/>
          <w:szCs w:val="24"/>
        </w:rPr>
        <w:t xml:space="preserve">Таким образом, основные положительные свойства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можно представить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следуюим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образом: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быстрое восполнение утраченного объема крови за счет внутрисосудистого пространства распределения (отсутствие отеков при больших дозах введения);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стойкий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волемический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эффект;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100 %-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достигаемый объем относительно введенного объема жидкости;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высокая стабильность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изоонкотического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коллоидно-осмотического давления;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реологический эффект, по действию сравнимый с введением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пентоксифиллина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продолжительность действия – более 30 часов;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lastRenderedPageBreak/>
        <w:t>• отсутствие прямого высвобождения гистамина;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• низкий процент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инциденции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анафилактоидных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реакций и тяжелых реакций несовместимости;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отсутствие влияния на функции органов;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• длительный срок хранения [9].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Обширный клинический опыт, накопленный в последние годы, позволяет сделать вывод, что при критических состояниях, которые сопровождаются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генерализованным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повреждением эндотелия и снижением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онкотического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давления плазмы, оптимальными в программе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являются растворы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крахмала различной концентрации и молекулярной массы.</w:t>
      </w:r>
      <w:r w:rsidR="00C75AA4">
        <w:rPr>
          <w:rFonts w:ascii="Times New Roman" w:hAnsi="Times New Roman" w:cs="Times New Roman"/>
          <w:sz w:val="24"/>
          <w:szCs w:val="24"/>
        </w:rPr>
        <w:t xml:space="preserve"> </w:t>
      </w:r>
      <w:r w:rsidRPr="00452F3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успешно применяется во многих областях хирургии, является необходимым компонентом в составе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при оперативных вмешательствах, сопровождающихся массивной кровопотерей (абдоминальное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операции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тазобедренного сустава, обширные вмешательства на органах брюшной полости), благодаря своим гемодинамическим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волемическим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эффектам.</w:t>
      </w:r>
      <w:r w:rsidR="00C75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терапия должна быть индивидуальной, комплексной и включать как коллоидные, так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кристаллоидные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растворы в зависимости от конкретных задач.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>Литература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1. Буланов С.А., Городецкий В.М.,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Шулутко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Е.М. Коллоидные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объемозамещающие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растворы и гемостаз // Российский журнал анестезиологии и интенсивной терапии. 1999.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2. Молчанов И.В., Буланов А.Ю.,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Шулутко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Е.М. Некоторые аспекты безопасности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// Клиническая анестезиология и реаниматология. 2004.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3. Шестопалов А.Е.,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Бакеев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Р.Ф. Современные аспекты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объемозамещающей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острой кровопотери у раненых // Актуальные вопросы интенсивной терапии. 2001. № 8–9.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4. Яковлева Ю.В., Цареградская А.Ю., Шилова Н.Л. и др. Препараты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гидроксиэтилкрахмала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гиповолемии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различной этиологии. Материалы научно-практической конференции, посвященной 90-летию ЦКБ № 2 им.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Н.А.Семашко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ОАО «РЖД», 2004.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5. Шилова Н.Л., Борисов А.Ю.,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Бутров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А.В. Оптимизация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терапии при операциях тотального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тазобедренного сустава // Новости анестезиологии и реаниматологии (медицина критических состояний). 2005. № 1.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6. Руденко М.И. Замещение операционной кровопотери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рефортаном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стабизолом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// Новости анестезиологии и реаниматологии (медицина критических состояний). 2005. № 4.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Семиголовский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Н.Ю. Применение калий-магний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аспарагината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в интенсивной терапии больных острым инфарктом миокарда // Новости анестезиологии и реаниматологии (медицина критических состояний). 2003. № 4.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Бутров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А.В., Борисов А.Ю. Современные синтетические коллоидные плазмозамещающие растворы в интенсивной терапии острой кровопотери // Консилиум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медикум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(гастроэнтерология/хирургия). 2005. Т. 7. № 6.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t xml:space="preserve">9. Серов В.Н., Баранов И.И. Растворы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гидроксиэтилированного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крахмала в акушерско-гинекологической практике // РМЖ. 2006. Т. 14. № 1.</w:t>
      </w:r>
    </w:p>
    <w:p w:rsidR="00452F38" w:rsidRPr="00452F38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</w:rPr>
        <w:lastRenderedPageBreak/>
        <w:t xml:space="preserve">10. Инглиш В.А., Инглиш Р.Е., Уилсон И.Г.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терапия в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периоперационном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периоде //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Anaestesia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>. 2006. № 12.</w:t>
      </w:r>
    </w:p>
    <w:p w:rsidR="00452F38" w:rsidRPr="00BA58F5" w:rsidRDefault="00452F38" w:rsidP="00452F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11. Hwang G.,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Marota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J.A. Anesthesia for abdominal surgery //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Hurford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W. E.,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Bailin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M. T.,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Dawison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J. K.,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Haspel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K. L.,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Rosow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C., eds.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Massachusetts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</w:t>
      </w:r>
      <w:r w:rsidRPr="00BA58F5">
        <w:rPr>
          <w:rFonts w:ascii="Times New Roman" w:hAnsi="Times New Roman" w:cs="Times New Roman"/>
          <w:sz w:val="24"/>
          <w:szCs w:val="24"/>
          <w:lang w:val="en-US"/>
        </w:rPr>
        <w:t>Philadelphia: Lippincott-Raven, 1997.</w:t>
      </w:r>
    </w:p>
    <w:p w:rsidR="00452F38" w:rsidRPr="00BA58F5" w:rsidRDefault="00452F38" w:rsidP="00452F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Tonnesen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A.S. Crystalloids and colloids. In: Miller R.D., ed.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, 3rd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. </w:t>
      </w:r>
      <w:r w:rsidRPr="00BA58F5">
        <w:rPr>
          <w:rFonts w:ascii="Times New Roman" w:hAnsi="Times New Roman" w:cs="Times New Roman"/>
          <w:sz w:val="24"/>
          <w:szCs w:val="24"/>
          <w:lang w:val="en-US"/>
        </w:rPr>
        <w:t>New York: Churchill Livingstone, 1990.</w:t>
      </w:r>
    </w:p>
    <w:p w:rsidR="00452F38" w:rsidRPr="00BA58F5" w:rsidRDefault="00452F38" w:rsidP="00452F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Boldt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J. Fluid management of patients undergoing abdominal surgery – more questions than answers // European Journal of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Anaesthesiology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2006.</w:t>
      </w:r>
    </w:p>
    <w:p w:rsidR="00452F38" w:rsidRPr="00BA58F5" w:rsidRDefault="00452F38" w:rsidP="00452F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Ragaller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M.J.R, </w:t>
      </w:r>
      <w:proofErr w:type="spellStart"/>
      <w:r w:rsidRPr="00BA58F5">
        <w:rPr>
          <w:rFonts w:ascii="Times New Roman" w:hAnsi="Times New Roman" w:cs="Times New Roman"/>
          <w:sz w:val="24"/>
          <w:szCs w:val="24"/>
          <w:lang w:val="en-US"/>
        </w:rPr>
        <w:t>Theilen</w:t>
      </w:r>
      <w:proofErr w:type="spellEnd"/>
      <w:r w:rsidRPr="00BA58F5">
        <w:rPr>
          <w:rFonts w:ascii="Times New Roman" w:hAnsi="Times New Roman" w:cs="Times New Roman"/>
          <w:sz w:val="24"/>
          <w:szCs w:val="24"/>
          <w:lang w:val="en-US"/>
        </w:rPr>
        <w:t xml:space="preserve"> H., Koch T. Volume Replacement in Critically Ill Patients with Acute Renal Failure Journal of the American Society of Nephrology, 2001. </w:t>
      </w:r>
      <w:proofErr w:type="gramStart"/>
      <w:r w:rsidRPr="00BA58F5">
        <w:rPr>
          <w:rFonts w:ascii="Times New Roman" w:hAnsi="Times New Roman" w:cs="Times New Roman"/>
          <w:sz w:val="24"/>
          <w:szCs w:val="24"/>
          <w:lang w:val="en-US"/>
        </w:rPr>
        <w:t>Volume 12.</w:t>
      </w:r>
      <w:proofErr w:type="gramEnd"/>
    </w:p>
    <w:p w:rsidR="00E33899" w:rsidRPr="002B5AA3" w:rsidRDefault="00452F38" w:rsidP="00452F38">
      <w:pPr>
        <w:rPr>
          <w:rFonts w:ascii="Times New Roman" w:hAnsi="Times New Roman" w:cs="Times New Roman"/>
          <w:sz w:val="24"/>
          <w:szCs w:val="24"/>
        </w:rPr>
      </w:pPr>
      <w:r w:rsidRPr="00452F38">
        <w:rPr>
          <w:rFonts w:ascii="Times New Roman" w:hAnsi="Times New Roman" w:cs="Times New Roman"/>
          <w:sz w:val="24"/>
          <w:szCs w:val="24"/>
          <w:lang w:val="en-US"/>
        </w:rPr>
        <w:t xml:space="preserve">15. Lobo D.N., </w:t>
      </w:r>
      <w:proofErr w:type="spellStart"/>
      <w:r w:rsidRPr="00452F38">
        <w:rPr>
          <w:rFonts w:ascii="Times New Roman" w:hAnsi="Times New Roman" w:cs="Times New Roman"/>
          <w:sz w:val="24"/>
          <w:szCs w:val="24"/>
          <w:lang w:val="en-US"/>
        </w:rPr>
        <w:t>Dube</w:t>
      </w:r>
      <w:proofErr w:type="spellEnd"/>
      <w:r w:rsidRPr="00452F38">
        <w:rPr>
          <w:rFonts w:ascii="Times New Roman" w:hAnsi="Times New Roman" w:cs="Times New Roman"/>
          <w:sz w:val="24"/>
          <w:szCs w:val="24"/>
          <w:lang w:val="en-US"/>
        </w:rPr>
        <w:t xml:space="preserve"> M.G., Neal K.R., Allison S.P., </w:t>
      </w:r>
      <w:proofErr w:type="spellStart"/>
      <w:r w:rsidRPr="00452F38">
        <w:rPr>
          <w:rFonts w:ascii="Times New Roman" w:hAnsi="Times New Roman" w:cs="Times New Roman"/>
          <w:sz w:val="24"/>
          <w:szCs w:val="24"/>
          <w:lang w:val="en-US"/>
        </w:rPr>
        <w:t>Rowlands</w:t>
      </w:r>
      <w:proofErr w:type="spellEnd"/>
      <w:r w:rsidRPr="00452F38">
        <w:rPr>
          <w:rFonts w:ascii="Times New Roman" w:hAnsi="Times New Roman" w:cs="Times New Roman"/>
          <w:sz w:val="24"/>
          <w:szCs w:val="24"/>
          <w:lang w:val="en-US"/>
        </w:rPr>
        <w:t xml:space="preserve"> B.J. Perioperative fluid and electrolyte management: a survey of consultant surgeons in the UK.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Coil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F38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452F38">
        <w:rPr>
          <w:rFonts w:ascii="Times New Roman" w:hAnsi="Times New Roman" w:cs="Times New Roman"/>
          <w:sz w:val="24"/>
          <w:szCs w:val="24"/>
        </w:rPr>
        <w:t xml:space="preserve"> 2002.</w:t>
      </w:r>
    </w:p>
    <w:sectPr w:rsidR="00E33899" w:rsidRPr="002B5AA3" w:rsidSect="002B5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E6"/>
    <w:rsid w:val="002B5AA3"/>
    <w:rsid w:val="002F2E62"/>
    <w:rsid w:val="003E4793"/>
    <w:rsid w:val="00452F38"/>
    <w:rsid w:val="005E188C"/>
    <w:rsid w:val="009034B9"/>
    <w:rsid w:val="009B3F97"/>
    <w:rsid w:val="00A50286"/>
    <w:rsid w:val="00A754E6"/>
    <w:rsid w:val="00B16E3B"/>
    <w:rsid w:val="00BA58F5"/>
    <w:rsid w:val="00C75AA4"/>
    <w:rsid w:val="00CA4473"/>
    <w:rsid w:val="00E33899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2012-02-17T18:57:00Z</dcterms:created>
  <dcterms:modified xsi:type="dcterms:W3CDTF">2012-02-21T15:15:00Z</dcterms:modified>
</cp:coreProperties>
</file>